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6C05" w:rsidRPr="00BE5E5A" w:rsidRDefault="00FD6C05" w:rsidP="00FD6C05">
      <w:pPr>
        <w:pStyle w:val="Header"/>
        <w:tabs>
          <w:tab w:val="right" w:pos="10440"/>
          <w:tab w:val="right" w:pos="13323"/>
        </w:tabs>
        <w:rPr>
          <w:rFonts w:eastAsia="SimSun" w:cs="Arial"/>
          <w:b/>
          <w:sz w:val="24"/>
          <w:szCs w:val="24"/>
          <w:lang w:eastAsia="zh-CN"/>
        </w:rPr>
      </w:pPr>
      <w:r w:rsidRPr="00F644CF">
        <w:rPr>
          <w:rFonts w:cs="Arial"/>
          <w:b/>
          <w:sz w:val="24"/>
          <w:szCs w:val="24"/>
        </w:rPr>
        <w:t>3GPP TSG-RAN WG4 Meeting #</w:t>
      </w:r>
      <w:r>
        <w:rPr>
          <w:rFonts w:eastAsia="SimSun" w:cs="Arial"/>
          <w:b/>
          <w:sz w:val="24"/>
          <w:szCs w:val="24"/>
          <w:lang w:eastAsia="zh-CN"/>
        </w:rPr>
        <w:t>9</w:t>
      </w:r>
      <w:r>
        <w:rPr>
          <w:rFonts w:eastAsia="SimSun" w:cs="Arial" w:hint="eastAsia"/>
          <w:b/>
          <w:sz w:val="24"/>
          <w:szCs w:val="24"/>
          <w:lang w:eastAsia="zh-CN"/>
        </w:rPr>
        <w:t>1</w:t>
      </w:r>
      <w:r w:rsidRPr="00F644CF">
        <w:rPr>
          <w:rFonts w:cs="Arial"/>
          <w:b/>
          <w:sz w:val="24"/>
          <w:szCs w:val="24"/>
        </w:rPr>
        <w:tab/>
      </w:r>
      <w:r>
        <w:rPr>
          <w:rFonts w:cs="Arial"/>
          <w:b/>
          <w:sz w:val="24"/>
          <w:szCs w:val="24"/>
        </w:rPr>
        <w:tab/>
        <w:t xml:space="preserve">     </w:t>
      </w:r>
      <w:r w:rsidRPr="003A45FB">
        <w:rPr>
          <w:rFonts w:cs="Arial"/>
          <w:b/>
          <w:sz w:val="24"/>
          <w:szCs w:val="24"/>
        </w:rPr>
        <w:t>R4-190</w:t>
      </w:r>
      <w:r w:rsidR="00042858">
        <w:rPr>
          <w:rFonts w:eastAsia="SimSun" w:cs="Arial"/>
          <w:b/>
          <w:sz w:val="24"/>
          <w:szCs w:val="24"/>
          <w:lang w:eastAsia="zh-CN"/>
        </w:rPr>
        <w:t>6020</w:t>
      </w:r>
    </w:p>
    <w:p w:rsidR="00FD6C05" w:rsidRPr="00F644CF" w:rsidRDefault="00FD6C05" w:rsidP="00FD6C05">
      <w:pPr>
        <w:pStyle w:val="Header"/>
        <w:tabs>
          <w:tab w:val="right" w:pos="9781"/>
          <w:tab w:val="right" w:pos="13323"/>
        </w:tabs>
        <w:outlineLvl w:val="0"/>
        <w:rPr>
          <w:rFonts w:eastAsia="SimSun"/>
          <w:b/>
          <w:sz w:val="24"/>
          <w:szCs w:val="24"/>
          <w:lang w:eastAsia="zh-CN"/>
        </w:rPr>
      </w:pPr>
      <w:r>
        <w:rPr>
          <w:rFonts w:eastAsia="SimSun" w:hint="eastAsia"/>
          <w:b/>
          <w:sz w:val="24"/>
          <w:szCs w:val="24"/>
          <w:lang w:eastAsia="zh-CN"/>
        </w:rPr>
        <w:t>Reno</w:t>
      </w:r>
      <w:r w:rsidRPr="00F644CF">
        <w:rPr>
          <w:rFonts w:eastAsia="SimSun" w:hint="eastAsia"/>
          <w:b/>
          <w:sz w:val="24"/>
          <w:szCs w:val="24"/>
          <w:lang w:eastAsia="zh-CN"/>
        </w:rPr>
        <w:t xml:space="preserve">, </w:t>
      </w:r>
      <w:r>
        <w:rPr>
          <w:rFonts w:eastAsia="SimSun" w:hint="eastAsia"/>
          <w:b/>
          <w:sz w:val="24"/>
          <w:szCs w:val="24"/>
          <w:lang w:eastAsia="zh-CN"/>
        </w:rPr>
        <w:t>US</w:t>
      </w:r>
      <w:r w:rsidRPr="00F644CF">
        <w:rPr>
          <w:rFonts w:eastAsia="SimSun"/>
          <w:b/>
          <w:sz w:val="24"/>
          <w:szCs w:val="24"/>
          <w:lang w:eastAsia="zh-CN"/>
        </w:rPr>
        <w:t xml:space="preserve">, </w:t>
      </w:r>
      <w:r>
        <w:rPr>
          <w:rFonts w:eastAsia="SimSun" w:hint="eastAsia"/>
          <w:b/>
          <w:sz w:val="24"/>
          <w:szCs w:val="24"/>
          <w:lang w:eastAsia="zh-CN"/>
        </w:rPr>
        <w:t>13</w:t>
      </w:r>
      <w:r w:rsidRPr="00BA18E1">
        <w:rPr>
          <w:rFonts w:eastAsia="SimSun"/>
          <w:b/>
          <w:sz w:val="24"/>
          <w:szCs w:val="24"/>
          <w:vertAlign w:val="superscript"/>
          <w:lang w:eastAsia="zh-CN"/>
        </w:rPr>
        <w:t>th</w:t>
      </w:r>
      <w:r>
        <w:rPr>
          <w:rFonts w:eastAsia="SimSun"/>
          <w:b/>
          <w:sz w:val="24"/>
          <w:szCs w:val="24"/>
          <w:lang w:eastAsia="zh-CN"/>
        </w:rPr>
        <w:t>–</w:t>
      </w:r>
      <w:r w:rsidRPr="00F644CF">
        <w:rPr>
          <w:rFonts w:eastAsia="SimSun" w:hint="eastAsia"/>
          <w:b/>
          <w:sz w:val="24"/>
          <w:szCs w:val="24"/>
          <w:lang w:eastAsia="zh-CN"/>
        </w:rPr>
        <w:t xml:space="preserve"> </w:t>
      </w:r>
      <w:r>
        <w:rPr>
          <w:rFonts w:eastAsia="SimSun"/>
          <w:b/>
          <w:sz w:val="24"/>
          <w:szCs w:val="24"/>
          <w:lang w:eastAsia="zh-CN"/>
        </w:rPr>
        <w:t>1</w:t>
      </w:r>
      <w:r>
        <w:rPr>
          <w:rFonts w:eastAsia="SimSun" w:hint="eastAsia"/>
          <w:b/>
          <w:sz w:val="24"/>
          <w:szCs w:val="24"/>
          <w:lang w:eastAsia="zh-CN"/>
        </w:rPr>
        <w:t>7</w:t>
      </w:r>
      <w:r>
        <w:rPr>
          <w:rFonts w:eastAsia="SimSun"/>
          <w:b/>
          <w:sz w:val="24"/>
          <w:szCs w:val="24"/>
          <w:vertAlign w:val="superscript"/>
          <w:lang w:eastAsia="zh-CN"/>
        </w:rPr>
        <w:t>th</w:t>
      </w:r>
      <w:r>
        <w:rPr>
          <w:rFonts w:eastAsia="SimSun"/>
          <w:b/>
          <w:sz w:val="24"/>
          <w:szCs w:val="24"/>
          <w:lang w:eastAsia="zh-CN"/>
        </w:rPr>
        <w:t xml:space="preserve"> </w:t>
      </w:r>
      <w:proofErr w:type="gramStart"/>
      <w:r>
        <w:rPr>
          <w:rFonts w:eastAsia="SimSun" w:hint="eastAsia"/>
          <w:b/>
          <w:sz w:val="24"/>
          <w:szCs w:val="24"/>
          <w:lang w:eastAsia="zh-CN"/>
        </w:rPr>
        <w:t>May</w:t>
      </w:r>
      <w:r w:rsidRPr="00F644CF">
        <w:rPr>
          <w:rFonts w:eastAsia="SimSun"/>
          <w:b/>
          <w:sz w:val="24"/>
          <w:szCs w:val="24"/>
          <w:lang w:eastAsia="zh-CN"/>
        </w:rPr>
        <w:t>,</w:t>
      </w:r>
      <w:proofErr w:type="gramEnd"/>
      <w:r w:rsidRPr="00F644CF">
        <w:rPr>
          <w:rFonts w:eastAsia="SimSun"/>
          <w:b/>
          <w:sz w:val="24"/>
          <w:szCs w:val="24"/>
          <w:lang w:eastAsia="zh-CN"/>
        </w:rPr>
        <w:t xml:space="preserve"> 201</w:t>
      </w:r>
      <w:r>
        <w:rPr>
          <w:rFonts w:eastAsia="SimSun"/>
          <w:b/>
          <w:sz w:val="24"/>
          <w:szCs w:val="24"/>
          <w:lang w:eastAsia="zh-CN"/>
        </w:rPr>
        <w:t>9</w:t>
      </w:r>
    </w:p>
    <w:p w:rsidR="0015319D" w:rsidRDefault="0015319D" w:rsidP="002D479B">
      <w:pPr>
        <w:ind w:left="1800" w:hanging="1800"/>
        <w:rPr>
          <w:b/>
          <w:sz w:val="24"/>
          <w:szCs w:val="24"/>
        </w:rPr>
      </w:pPr>
    </w:p>
    <w:p w:rsidR="0060603E" w:rsidRPr="00212204" w:rsidRDefault="0060603E" w:rsidP="002D479B">
      <w:pPr>
        <w:ind w:left="1800" w:hanging="1800"/>
        <w:rPr>
          <w:b/>
          <w:sz w:val="24"/>
          <w:szCs w:val="24"/>
        </w:rPr>
      </w:pPr>
      <w:r w:rsidRPr="00212204">
        <w:rPr>
          <w:b/>
          <w:sz w:val="24"/>
          <w:szCs w:val="24"/>
        </w:rPr>
        <w:t>Agenda Item:</w:t>
      </w:r>
      <w:bookmarkStart w:id="0" w:name="Source"/>
      <w:bookmarkEnd w:id="0"/>
      <w:r w:rsidR="00E67F4E" w:rsidRPr="0015319D">
        <w:rPr>
          <w:b/>
          <w:sz w:val="24"/>
          <w:szCs w:val="24"/>
        </w:rPr>
        <w:t xml:space="preserve">   </w:t>
      </w:r>
      <w:r w:rsidR="00FD6C05">
        <w:rPr>
          <w:b/>
          <w:sz w:val="24"/>
          <w:szCs w:val="24"/>
        </w:rPr>
        <w:t>8.5.</w:t>
      </w:r>
      <w:r w:rsidR="008B0924">
        <w:rPr>
          <w:b/>
          <w:sz w:val="24"/>
          <w:szCs w:val="24"/>
        </w:rPr>
        <w:t>2</w:t>
      </w:r>
    </w:p>
    <w:p w:rsidR="00CE0C9D" w:rsidRPr="0015319D" w:rsidRDefault="00E67F4E" w:rsidP="002D479B">
      <w:pPr>
        <w:ind w:left="1800" w:hanging="1800"/>
        <w:rPr>
          <w:b/>
          <w:sz w:val="24"/>
          <w:szCs w:val="24"/>
        </w:rPr>
      </w:pPr>
      <w:r>
        <w:rPr>
          <w:b/>
          <w:sz w:val="24"/>
          <w:szCs w:val="24"/>
        </w:rPr>
        <w:t xml:space="preserve">Source:            </w:t>
      </w:r>
      <w:r w:rsidR="00AB7FC6" w:rsidRPr="00212204">
        <w:rPr>
          <w:b/>
          <w:sz w:val="24"/>
          <w:szCs w:val="24"/>
        </w:rPr>
        <w:t>AT&amp;T</w:t>
      </w:r>
    </w:p>
    <w:p w:rsidR="00812560" w:rsidRDefault="0060603E" w:rsidP="0015319D">
      <w:pPr>
        <w:ind w:left="1800" w:hanging="1800"/>
        <w:rPr>
          <w:b/>
          <w:sz w:val="24"/>
          <w:szCs w:val="24"/>
        </w:rPr>
      </w:pPr>
      <w:r w:rsidRPr="00212204">
        <w:rPr>
          <w:b/>
          <w:sz w:val="24"/>
          <w:szCs w:val="24"/>
        </w:rPr>
        <w:t>Title:</w:t>
      </w:r>
      <w:r w:rsidR="0015319D">
        <w:rPr>
          <w:b/>
          <w:sz w:val="24"/>
          <w:szCs w:val="24"/>
        </w:rPr>
        <w:t xml:space="preserve">                 </w:t>
      </w:r>
      <w:r w:rsidR="008B0924">
        <w:rPr>
          <w:b/>
          <w:sz w:val="24"/>
          <w:szCs w:val="24"/>
        </w:rPr>
        <w:t xml:space="preserve">Co-existence </w:t>
      </w:r>
      <w:r w:rsidR="00FD6C05" w:rsidRPr="00FD6C05">
        <w:rPr>
          <w:b/>
          <w:sz w:val="24"/>
          <w:szCs w:val="24"/>
        </w:rPr>
        <w:t>scenarios for IAB</w:t>
      </w:r>
    </w:p>
    <w:p w:rsidR="002D479B" w:rsidRPr="00812560" w:rsidRDefault="0060603E" w:rsidP="0015319D">
      <w:pPr>
        <w:ind w:left="1800" w:hanging="1800"/>
        <w:rPr>
          <w:b/>
          <w:sz w:val="24"/>
          <w:szCs w:val="24"/>
        </w:rPr>
      </w:pPr>
      <w:r w:rsidRPr="00212204">
        <w:rPr>
          <w:b/>
          <w:sz w:val="24"/>
          <w:szCs w:val="24"/>
        </w:rPr>
        <w:t>Document for</w:t>
      </w:r>
      <w:bookmarkStart w:id="1" w:name="DocumentFor"/>
      <w:bookmarkEnd w:id="1"/>
      <w:r w:rsidR="00E67F4E">
        <w:rPr>
          <w:b/>
          <w:sz w:val="24"/>
          <w:szCs w:val="24"/>
        </w:rPr>
        <w:t xml:space="preserve">: </w:t>
      </w:r>
      <w:r w:rsidR="000052FF" w:rsidRPr="00212204">
        <w:rPr>
          <w:b/>
          <w:sz w:val="24"/>
          <w:szCs w:val="24"/>
        </w:rPr>
        <w:t>Discussion/</w:t>
      </w:r>
      <w:r w:rsidRPr="00212204">
        <w:rPr>
          <w:b/>
          <w:sz w:val="24"/>
          <w:szCs w:val="24"/>
        </w:rPr>
        <w:t>Approval</w:t>
      </w:r>
    </w:p>
    <w:p w:rsidR="00A64CF7" w:rsidRPr="00A11840" w:rsidRDefault="00A64CF7" w:rsidP="00424124">
      <w:pPr>
        <w:pStyle w:val="NoSpacing"/>
        <w:jc w:val="left"/>
        <w:rPr>
          <w:sz w:val="16"/>
          <w:szCs w:val="16"/>
        </w:rPr>
      </w:pPr>
    </w:p>
    <w:p w:rsidR="00707D20" w:rsidRPr="00172743" w:rsidRDefault="00424124" w:rsidP="00326FF6">
      <w:pPr>
        <w:pStyle w:val="Heading1"/>
      </w:pPr>
      <w:r w:rsidRPr="00172743">
        <w:t>Introduction</w:t>
      </w:r>
    </w:p>
    <w:p w:rsidR="00CB4FDD" w:rsidRPr="00233D70" w:rsidRDefault="00CB4FDD" w:rsidP="00CB4FDD">
      <w:pPr>
        <w:pStyle w:val="maintext"/>
        <w:ind w:firstLine="400"/>
        <w:rPr>
          <w:rFonts w:ascii="Calibri" w:hAnsi="Calibri"/>
        </w:rPr>
      </w:pPr>
      <w:r w:rsidRPr="004131D6">
        <w:rPr>
          <w:rFonts w:ascii="Calibri" w:hAnsi="Calibri"/>
        </w:rPr>
        <w:t>As part of the Work Item on Integrated Access and Backhaul for NR [1], 3GPP has agreed to support solutions for efficient operation of integrated access and wireless backhaul for NR</w:t>
      </w:r>
      <w:r>
        <w:rPr>
          <w:rFonts w:ascii="Calibri" w:hAnsi="Calibri"/>
        </w:rPr>
        <w:t>.</w:t>
      </w:r>
      <w:r w:rsidRPr="004131D6">
        <w:rPr>
          <w:rFonts w:ascii="Calibri" w:hAnsi="Calibri"/>
        </w:rPr>
        <w:t xml:space="preserve"> </w:t>
      </w:r>
      <w:r w:rsidRPr="00233D70">
        <w:rPr>
          <w:rFonts w:ascii="Calibri" w:hAnsi="Calibri"/>
        </w:rPr>
        <w:t>This d</w:t>
      </w:r>
      <w:r>
        <w:rPr>
          <w:rFonts w:ascii="Calibri" w:hAnsi="Calibri"/>
        </w:rPr>
        <w:t>ocument provides an overview of the key co-existence scenarios for IAB for evaluations and the definition of requirements in RAN4.</w:t>
      </w:r>
    </w:p>
    <w:p w:rsidR="00346605" w:rsidRPr="00172743" w:rsidRDefault="00CB4FDD" w:rsidP="00326FF6">
      <w:pPr>
        <w:pStyle w:val="Heading1"/>
      </w:pPr>
      <w:r>
        <w:t>Co-existence scenarios for IAB</w:t>
      </w:r>
    </w:p>
    <w:p w:rsidR="00C134F3" w:rsidRDefault="00C134F3" w:rsidP="00E86F47">
      <w:pPr>
        <w:pStyle w:val="maintext"/>
        <w:ind w:firstLine="400"/>
        <w:rPr>
          <w:rFonts w:ascii="Calibri" w:hAnsi="Calibri"/>
        </w:rPr>
      </w:pPr>
      <w:r>
        <w:rPr>
          <w:rFonts w:ascii="Calibri" w:hAnsi="Calibri"/>
        </w:rPr>
        <w:t xml:space="preserve">Evaluating the impact of IAB operation on adjacent spectrum bands is an important objective of the WI. Selecting the simulation assumptions is critical to balance the need for realistic modelling with a reasonable workload for conducting the evaluations. During the SI, RAN1 agreed on detailed simulation assumptions for system-level simulation evaluations covering multiple deployment scenarios including regular and random IAB node deployment, FR1 and FR2 bands, and different densities of donor nodes. </w:t>
      </w:r>
    </w:p>
    <w:p w:rsidR="00C134F3" w:rsidRDefault="00C134F3" w:rsidP="00E86F47">
      <w:pPr>
        <w:pStyle w:val="maintext"/>
        <w:ind w:firstLine="400"/>
        <w:rPr>
          <w:rFonts w:ascii="Calibri" w:hAnsi="Calibri"/>
        </w:rPr>
      </w:pPr>
      <w:r>
        <w:rPr>
          <w:rFonts w:ascii="Calibri" w:hAnsi="Calibri"/>
        </w:rPr>
        <w:t xml:space="preserve">Considering the </w:t>
      </w:r>
      <w:r w:rsidR="00A230FD">
        <w:rPr>
          <w:rFonts w:ascii="Calibri" w:hAnsi="Calibri"/>
        </w:rPr>
        <w:t>trade-offs</w:t>
      </w:r>
      <w:r>
        <w:rPr>
          <w:rFonts w:ascii="Calibri" w:hAnsi="Calibri"/>
        </w:rPr>
        <w:t xml:space="preserve"> of the different scenarios</w:t>
      </w:r>
      <w:r w:rsidR="00A230FD">
        <w:rPr>
          <w:rFonts w:ascii="Calibri" w:hAnsi="Calibri"/>
        </w:rPr>
        <w:t xml:space="preserve">, </w:t>
      </w:r>
      <w:r>
        <w:rPr>
          <w:rFonts w:ascii="Calibri" w:hAnsi="Calibri"/>
        </w:rPr>
        <w:t xml:space="preserve">it is proposed to focus on a typical deployment for IAB where the gains are most readily realized and is a natural extension of existing NR deployments. </w:t>
      </w:r>
      <w:r w:rsidR="00A230FD">
        <w:rPr>
          <w:rFonts w:ascii="Calibri" w:hAnsi="Calibri"/>
        </w:rPr>
        <w:t xml:space="preserve">In our view this corresponds to IAB nodes on a fixed hexagonal grid of 19 sites with 3 donor sites since this results in a topology with </w:t>
      </w:r>
      <w:proofErr w:type="gramStart"/>
      <w:r w:rsidR="00A230FD">
        <w:rPr>
          <w:rFonts w:ascii="Calibri" w:hAnsi="Calibri"/>
        </w:rPr>
        <w:t>a large number of</w:t>
      </w:r>
      <w:proofErr w:type="gramEnd"/>
      <w:r w:rsidR="00A230FD">
        <w:rPr>
          <w:rFonts w:ascii="Calibri" w:hAnsi="Calibri"/>
        </w:rPr>
        <w:t xml:space="preserve"> nodes 1 or 2 hops from the donor with up to 3 or 4 hops in a small percentage of cases as well. Simulations with 7 donors result in very few multi-hop links which may not be realistic for early deployments and 1 donor site may result in some topologies with a very large number of hops (7 or more) which is unrealistic from a latency perspective. In terms of carrier frequency and bandwidth assumptions, the simulations should consider FR2 (30 GHz) with 100MHz CC bandwidth (which may be aggregated up to 400MHz). </w:t>
      </w:r>
    </w:p>
    <w:p w:rsidR="001C5E6A" w:rsidRDefault="00A230FD" w:rsidP="00A230FD">
      <w:pPr>
        <w:pStyle w:val="maintext"/>
        <w:ind w:firstLineChars="0" w:firstLine="0"/>
        <w:rPr>
          <w:rFonts w:ascii="Calibri" w:hAnsi="Calibri"/>
          <w:b/>
        </w:rPr>
      </w:pPr>
      <w:r>
        <w:rPr>
          <w:rFonts w:ascii="Calibri" w:hAnsi="Calibri"/>
          <w:b/>
        </w:rPr>
        <w:t>Proposal</w:t>
      </w:r>
      <w:r w:rsidR="00F83E88">
        <w:rPr>
          <w:rFonts w:ascii="Calibri" w:hAnsi="Calibri"/>
          <w:b/>
        </w:rPr>
        <w:t xml:space="preserve"> 1</w:t>
      </w:r>
      <w:bookmarkStart w:id="2" w:name="_GoBack"/>
      <w:bookmarkEnd w:id="2"/>
      <w:r>
        <w:rPr>
          <w:rFonts w:ascii="Calibri" w:hAnsi="Calibri"/>
          <w:b/>
        </w:rPr>
        <w:t>: Adopt the following parameters for co-existence simulations based on Table A.1-1 of TR 38.874: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7740"/>
      </w:tblGrid>
      <w:tr w:rsidR="006C5F4F" w:rsidTr="006C5F4F">
        <w:trPr>
          <w:trHeight w:val="300"/>
        </w:trPr>
        <w:tc>
          <w:tcPr>
            <w:tcW w:w="2178" w:type="dxa"/>
            <w:tcBorders>
              <w:top w:val="single" w:sz="4" w:space="0" w:color="auto"/>
              <w:left w:val="single" w:sz="4" w:space="0" w:color="auto"/>
              <w:bottom w:val="single" w:sz="4" w:space="0" w:color="auto"/>
              <w:right w:val="single" w:sz="4" w:space="0" w:color="auto"/>
            </w:tcBorders>
            <w:shd w:val="clear" w:color="auto" w:fill="D9D9D9"/>
            <w:hideMark/>
          </w:tcPr>
          <w:p w:rsidR="006C5F4F" w:rsidRPr="00AF64A2" w:rsidRDefault="006C5F4F" w:rsidP="00532A1F">
            <w:pPr>
              <w:pStyle w:val="TAH"/>
              <w:rPr>
                <w:lang w:val="en-GB" w:eastAsia="ja-JP"/>
              </w:rPr>
            </w:pPr>
            <w:r w:rsidRPr="00AF64A2">
              <w:rPr>
                <w:lang w:val="en-GB" w:eastAsia="ja-JP"/>
              </w:rPr>
              <w:lastRenderedPageBreak/>
              <w:t>Parameters</w:t>
            </w:r>
          </w:p>
        </w:tc>
        <w:tc>
          <w:tcPr>
            <w:tcW w:w="7740" w:type="dxa"/>
            <w:tcBorders>
              <w:top w:val="single" w:sz="4" w:space="0" w:color="auto"/>
              <w:left w:val="single" w:sz="4" w:space="0" w:color="auto"/>
              <w:bottom w:val="single" w:sz="4" w:space="0" w:color="auto"/>
              <w:right w:val="single" w:sz="4" w:space="0" w:color="auto"/>
            </w:tcBorders>
            <w:shd w:val="clear" w:color="auto" w:fill="D9D9D9"/>
            <w:hideMark/>
          </w:tcPr>
          <w:p w:rsidR="006C5F4F" w:rsidRPr="00AF64A2" w:rsidRDefault="006C5F4F" w:rsidP="00532A1F">
            <w:pPr>
              <w:pStyle w:val="TAH"/>
              <w:rPr>
                <w:lang w:val="en-GB" w:eastAsia="ja-JP"/>
              </w:rPr>
            </w:pPr>
            <w:r w:rsidRPr="00AF64A2">
              <w:rPr>
                <w:lang w:val="en-GB" w:eastAsia="ja-JP"/>
              </w:rPr>
              <w:t>Homogeneous scenario (urban micro)</w:t>
            </w:r>
          </w:p>
        </w:tc>
      </w:tr>
      <w:tr w:rsidR="006C5F4F" w:rsidTr="006C5F4F">
        <w:trPr>
          <w:trHeight w:val="1934"/>
        </w:trPr>
        <w:tc>
          <w:tcPr>
            <w:tcW w:w="2178" w:type="dxa"/>
            <w:tcBorders>
              <w:top w:val="single" w:sz="4" w:space="0" w:color="auto"/>
              <w:left w:val="single" w:sz="4" w:space="0" w:color="auto"/>
              <w:bottom w:val="single" w:sz="4" w:space="0" w:color="auto"/>
              <w:right w:val="single" w:sz="4" w:space="0" w:color="auto"/>
            </w:tcBorders>
            <w:hideMark/>
          </w:tcPr>
          <w:p w:rsidR="006C5F4F" w:rsidRPr="00AF64A2" w:rsidRDefault="006C5F4F" w:rsidP="00532A1F">
            <w:pPr>
              <w:pStyle w:val="TAL"/>
            </w:pPr>
            <w:r w:rsidRPr="00AF64A2">
              <w:t>Layout</w:t>
            </w:r>
          </w:p>
        </w:tc>
        <w:tc>
          <w:tcPr>
            <w:tcW w:w="7740" w:type="dxa"/>
            <w:tcBorders>
              <w:top w:val="single" w:sz="4" w:space="0" w:color="auto"/>
              <w:left w:val="single" w:sz="4" w:space="0" w:color="auto"/>
              <w:bottom w:val="single" w:sz="4" w:space="0" w:color="auto"/>
              <w:right w:val="single" w:sz="4" w:space="0" w:color="auto"/>
            </w:tcBorders>
          </w:tcPr>
          <w:p w:rsidR="0067624E" w:rsidRPr="00AF64A2" w:rsidRDefault="0067624E" w:rsidP="0067624E">
            <w:pPr>
              <w:pStyle w:val="TAL"/>
            </w:pPr>
            <w:r>
              <w:rPr>
                <w:u w:val="single"/>
              </w:rPr>
              <w:t>Non-IAB deployment</w:t>
            </w:r>
            <w:r w:rsidRPr="00AF64A2">
              <w:br/>
              <w:t>Hex. Grid</w:t>
            </w:r>
          </w:p>
          <w:p w:rsidR="0067624E" w:rsidRPr="00AF64A2" w:rsidRDefault="0067624E" w:rsidP="0067624E">
            <w:pPr>
              <w:pStyle w:val="TAL"/>
            </w:pPr>
            <w:r w:rsidRPr="00AF64A2">
              <w:t>19 sites</w:t>
            </w:r>
          </w:p>
          <w:p w:rsidR="0067624E" w:rsidRDefault="0067624E" w:rsidP="00532A1F">
            <w:pPr>
              <w:pStyle w:val="TAL"/>
              <w:rPr>
                <w:u w:val="single"/>
              </w:rPr>
            </w:pPr>
          </w:p>
          <w:p w:rsidR="006C5F4F" w:rsidRPr="00AF64A2" w:rsidRDefault="0067624E" w:rsidP="00532A1F">
            <w:pPr>
              <w:pStyle w:val="TAL"/>
            </w:pPr>
            <w:r>
              <w:rPr>
                <w:u w:val="single"/>
              </w:rPr>
              <w:t>IAB deployment</w:t>
            </w:r>
            <w:r w:rsidR="006C5F4F" w:rsidRPr="00AF64A2">
              <w:br/>
              <w:t>Hex. Grid</w:t>
            </w:r>
            <w:r>
              <w:t xml:space="preserve"> (</w:t>
            </w:r>
            <w:r w:rsidR="00C92939">
              <w:t>100% shift</w:t>
            </w:r>
            <w:r>
              <w:t xml:space="preserve"> relative to Non-IAB deployment)</w:t>
            </w:r>
          </w:p>
          <w:p w:rsidR="006C5F4F" w:rsidRPr="00AF64A2" w:rsidRDefault="006C5F4F" w:rsidP="00532A1F">
            <w:pPr>
              <w:pStyle w:val="TAL"/>
            </w:pPr>
            <w:r w:rsidRPr="00AF64A2">
              <w:t>19 sites</w:t>
            </w:r>
          </w:p>
          <w:p w:rsidR="006C5F4F" w:rsidRPr="00AF64A2" w:rsidRDefault="006C5F4F" w:rsidP="00532A1F">
            <w:pPr>
              <w:pStyle w:val="TAL"/>
            </w:pPr>
          </w:p>
          <w:p w:rsidR="006C5F4F" w:rsidRPr="00AF64A2" w:rsidRDefault="006C5F4F" w:rsidP="00532A1F">
            <w:pPr>
              <w:pStyle w:val="TAL"/>
            </w:pPr>
            <w:r w:rsidRPr="00AF64A2">
              <w:t>Number of IAB-donors (</w:t>
            </w:r>
            <w:proofErr w:type="spellStart"/>
            <w:r w:rsidRPr="00AF64A2">
              <w:t>Ndonor</w:t>
            </w:r>
            <w:proofErr w:type="spellEnd"/>
            <w:r w:rsidRPr="00AF64A2">
              <w:t>)</w:t>
            </w:r>
          </w:p>
          <w:p w:rsidR="006C5F4F" w:rsidRPr="00AF64A2" w:rsidRDefault="006C5F4F" w:rsidP="00532A1F">
            <w:pPr>
              <w:pStyle w:val="TAL"/>
            </w:pPr>
            <w:r w:rsidRPr="00AF64A2">
              <w:t>3</w:t>
            </w:r>
          </w:p>
          <w:p w:rsidR="006C5F4F" w:rsidRPr="00AF64A2" w:rsidRDefault="006C5F4F" w:rsidP="00532A1F">
            <w:pPr>
              <w:pStyle w:val="TAL"/>
            </w:pPr>
          </w:p>
          <w:p w:rsidR="006C5F4F" w:rsidRPr="00AF64A2" w:rsidRDefault="006C5F4F" w:rsidP="00532A1F">
            <w:pPr>
              <w:pStyle w:val="TAL"/>
            </w:pPr>
            <w:r w:rsidRPr="00AF64A2">
              <w:t xml:space="preserve">Number of IAB-nodes is </w:t>
            </w:r>
          </w:p>
          <w:p w:rsidR="006C5F4F" w:rsidRPr="00AF64A2" w:rsidRDefault="006C5F4F" w:rsidP="00532A1F">
            <w:pPr>
              <w:pStyle w:val="TAL"/>
            </w:pPr>
            <w:r w:rsidRPr="00AF64A2">
              <w:t xml:space="preserve">19 – </w:t>
            </w:r>
            <w:proofErr w:type="spellStart"/>
            <w:r w:rsidRPr="00AF64A2">
              <w:t>Ndonor</w:t>
            </w:r>
            <w:proofErr w:type="spellEnd"/>
          </w:p>
        </w:tc>
      </w:tr>
      <w:tr w:rsidR="006C5F4F" w:rsidTr="006C5F4F">
        <w:trPr>
          <w:trHeight w:val="260"/>
        </w:trPr>
        <w:tc>
          <w:tcPr>
            <w:tcW w:w="2178" w:type="dxa"/>
            <w:tcBorders>
              <w:top w:val="single" w:sz="4" w:space="0" w:color="auto"/>
              <w:left w:val="single" w:sz="4" w:space="0" w:color="auto"/>
              <w:bottom w:val="single" w:sz="4" w:space="0" w:color="auto"/>
              <w:right w:val="single" w:sz="4" w:space="0" w:color="auto"/>
            </w:tcBorders>
            <w:hideMark/>
          </w:tcPr>
          <w:p w:rsidR="006C5F4F" w:rsidRPr="00AF64A2" w:rsidRDefault="006C5F4F" w:rsidP="00532A1F">
            <w:pPr>
              <w:pStyle w:val="TAL"/>
            </w:pPr>
            <w:r w:rsidRPr="00AF64A2">
              <w:t xml:space="preserve">Inter-BS distance </w:t>
            </w:r>
          </w:p>
        </w:tc>
        <w:tc>
          <w:tcPr>
            <w:tcW w:w="7740" w:type="dxa"/>
            <w:tcBorders>
              <w:top w:val="single" w:sz="4" w:space="0" w:color="auto"/>
              <w:left w:val="single" w:sz="4" w:space="0" w:color="auto"/>
              <w:bottom w:val="single" w:sz="4" w:space="0" w:color="auto"/>
              <w:right w:val="single" w:sz="4" w:space="0" w:color="auto"/>
            </w:tcBorders>
            <w:hideMark/>
          </w:tcPr>
          <w:p w:rsidR="006C5F4F" w:rsidRPr="00AF64A2" w:rsidRDefault="006C5F4F" w:rsidP="00532A1F">
            <w:pPr>
              <w:pStyle w:val="TAL"/>
            </w:pPr>
            <w:r w:rsidRPr="00AF64A2">
              <w:t>200m</w:t>
            </w:r>
          </w:p>
        </w:tc>
      </w:tr>
      <w:tr w:rsidR="00A230FD" w:rsidTr="006C5F4F">
        <w:trPr>
          <w:trHeight w:val="260"/>
        </w:trPr>
        <w:tc>
          <w:tcPr>
            <w:tcW w:w="2178" w:type="dxa"/>
            <w:tcBorders>
              <w:top w:val="single" w:sz="4" w:space="0" w:color="auto"/>
              <w:left w:val="single" w:sz="4" w:space="0" w:color="auto"/>
              <w:bottom w:val="single" w:sz="4" w:space="0" w:color="auto"/>
              <w:right w:val="single" w:sz="4" w:space="0" w:color="auto"/>
            </w:tcBorders>
            <w:hideMark/>
          </w:tcPr>
          <w:p w:rsidR="00A230FD" w:rsidRPr="00AF64A2" w:rsidRDefault="00A230FD" w:rsidP="00532A1F">
            <w:pPr>
              <w:pStyle w:val="TAL"/>
            </w:pPr>
            <w:r w:rsidRPr="00AF64A2">
              <w:t>Topology formation</w:t>
            </w:r>
          </w:p>
        </w:tc>
        <w:tc>
          <w:tcPr>
            <w:tcW w:w="7740" w:type="dxa"/>
            <w:tcBorders>
              <w:top w:val="single" w:sz="4" w:space="0" w:color="auto"/>
              <w:left w:val="single" w:sz="4" w:space="0" w:color="auto"/>
              <w:bottom w:val="single" w:sz="4" w:space="0" w:color="auto"/>
              <w:right w:val="single" w:sz="4" w:space="0" w:color="auto"/>
            </w:tcBorders>
            <w:hideMark/>
          </w:tcPr>
          <w:p w:rsidR="006C5F4F" w:rsidRPr="00AF64A2" w:rsidRDefault="006C5F4F" w:rsidP="006C5F4F">
            <w:pPr>
              <w:pStyle w:val="TAL"/>
            </w:pPr>
            <w:r>
              <w:t>Max RSRP of candidate parent nodes</w:t>
            </w:r>
          </w:p>
          <w:p w:rsidR="00A230FD" w:rsidRPr="00AF64A2" w:rsidRDefault="00A230FD" w:rsidP="00532A1F">
            <w:pPr>
              <w:pStyle w:val="TAL"/>
            </w:pPr>
          </w:p>
        </w:tc>
      </w:tr>
      <w:tr w:rsidR="006C5F4F" w:rsidTr="006C5F4F">
        <w:trPr>
          <w:trHeight w:val="260"/>
        </w:trPr>
        <w:tc>
          <w:tcPr>
            <w:tcW w:w="2178" w:type="dxa"/>
            <w:tcBorders>
              <w:top w:val="single" w:sz="4" w:space="0" w:color="auto"/>
              <w:left w:val="single" w:sz="4" w:space="0" w:color="auto"/>
              <w:bottom w:val="single" w:sz="4" w:space="0" w:color="auto"/>
              <w:right w:val="single" w:sz="4" w:space="0" w:color="auto"/>
            </w:tcBorders>
            <w:hideMark/>
          </w:tcPr>
          <w:p w:rsidR="006C5F4F" w:rsidRPr="00AF64A2" w:rsidRDefault="006C5F4F" w:rsidP="00532A1F">
            <w:pPr>
              <w:pStyle w:val="TAL"/>
            </w:pPr>
            <w:r w:rsidRPr="00AF64A2">
              <w:t xml:space="preserve">Carrier frequency </w:t>
            </w:r>
          </w:p>
        </w:tc>
        <w:tc>
          <w:tcPr>
            <w:tcW w:w="7740" w:type="dxa"/>
            <w:tcBorders>
              <w:top w:val="single" w:sz="4" w:space="0" w:color="auto"/>
              <w:left w:val="single" w:sz="4" w:space="0" w:color="auto"/>
              <w:bottom w:val="single" w:sz="4" w:space="0" w:color="auto"/>
              <w:right w:val="single" w:sz="4" w:space="0" w:color="auto"/>
            </w:tcBorders>
            <w:hideMark/>
          </w:tcPr>
          <w:p w:rsidR="006C5F4F" w:rsidRPr="00AF64A2" w:rsidRDefault="006C5F4F" w:rsidP="00532A1F">
            <w:pPr>
              <w:pStyle w:val="TAL"/>
            </w:pPr>
            <w:r>
              <w:t>3</w:t>
            </w:r>
            <w:r w:rsidRPr="00AF64A2">
              <w:t>0GHz</w:t>
            </w:r>
          </w:p>
        </w:tc>
      </w:tr>
      <w:tr w:rsidR="006C5F4F" w:rsidTr="006C5F4F">
        <w:trPr>
          <w:trHeight w:val="260"/>
        </w:trPr>
        <w:tc>
          <w:tcPr>
            <w:tcW w:w="2178" w:type="dxa"/>
            <w:tcBorders>
              <w:top w:val="single" w:sz="4" w:space="0" w:color="auto"/>
              <w:left w:val="single" w:sz="4" w:space="0" w:color="auto"/>
              <w:bottom w:val="single" w:sz="4" w:space="0" w:color="auto"/>
              <w:right w:val="single" w:sz="4" w:space="0" w:color="auto"/>
            </w:tcBorders>
            <w:hideMark/>
          </w:tcPr>
          <w:p w:rsidR="006C5F4F" w:rsidRPr="00AF64A2" w:rsidRDefault="006C5F4F" w:rsidP="00532A1F">
            <w:pPr>
              <w:pStyle w:val="TAL"/>
            </w:pPr>
            <w:r w:rsidRPr="00AF64A2">
              <w:t>Duplex mode</w:t>
            </w:r>
          </w:p>
        </w:tc>
        <w:tc>
          <w:tcPr>
            <w:tcW w:w="7740" w:type="dxa"/>
            <w:tcBorders>
              <w:top w:val="single" w:sz="4" w:space="0" w:color="auto"/>
              <w:left w:val="single" w:sz="4" w:space="0" w:color="auto"/>
              <w:bottom w:val="single" w:sz="4" w:space="0" w:color="auto"/>
              <w:right w:val="single" w:sz="4" w:space="0" w:color="auto"/>
            </w:tcBorders>
            <w:hideMark/>
          </w:tcPr>
          <w:p w:rsidR="006C5F4F" w:rsidRPr="00AF64A2" w:rsidRDefault="006C5F4F" w:rsidP="00532A1F">
            <w:pPr>
              <w:pStyle w:val="TAL"/>
            </w:pPr>
            <w:r w:rsidRPr="00AF64A2">
              <w:t>TDD</w:t>
            </w:r>
          </w:p>
        </w:tc>
      </w:tr>
      <w:tr w:rsidR="006C5F4F" w:rsidTr="006C5F4F">
        <w:trPr>
          <w:trHeight w:val="692"/>
        </w:trPr>
        <w:tc>
          <w:tcPr>
            <w:tcW w:w="2178" w:type="dxa"/>
            <w:tcBorders>
              <w:top w:val="single" w:sz="4" w:space="0" w:color="auto"/>
              <w:left w:val="single" w:sz="4" w:space="0" w:color="auto"/>
              <w:bottom w:val="single" w:sz="4" w:space="0" w:color="auto"/>
              <w:right w:val="single" w:sz="4" w:space="0" w:color="auto"/>
            </w:tcBorders>
            <w:hideMark/>
          </w:tcPr>
          <w:p w:rsidR="006C5F4F" w:rsidRPr="00AF64A2" w:rsidRDefault="006C5F4F" w:rsidP="00532A1F">
            <w:pPr>
              <w:pStyle w:val="TAL"/>
            </w:pPr>
            <w:r w:rsidRPr="00AF64A2">
              <w:t xml:space="preserve">Aggregated system </w:t>
            </w:r>
            <w:r w:rsidRPr="00AF64A2">
              <w:br/>
              <w:t>bandwidth (access + backhaul)</w:t>
            </w:r>
          </w:p>
        </w:tc>
        <w:tc>
          <w:tcPr>
            <w:tcW w:w="7740" w:type="dxa"/>
            <w:tcBorders>
              <w:top w:val="single" w:sz="4" w:space="0" w:color="auto"/>
              <w:left w:val="single" w:sz="4" w:space="0" w:color="auto"/>
              <w:bottom w:val="single" w:sz="4" w:space="0" w:color="auto"/>
              <w:right w:val="single" w:sz="4" w:space="0" w:color="auto"/>
            </w:tcBorders>
            <w:hideMark/>
          </w:tcPr>
          <w:p w:rsidR="006C5F4F" w:rsidRPr="00AF64A2" w:rsidRDefault="006C5F4F" w:rsidP="00532A1F">
            <w:pPr>
              <w:pStyle w:val="TAL"/>
            </w:pPr>
            <w:r w:rsidRPr="00AF64A2">
              <w:t>Up to 400MHz (DL+UL)</w:t>
            </w:r>
          </w:p>
        </w:tc>
      </w:tr>
      <w:tr w:rsidR="00A230FD" w:rsidTr="006C5F4F">
        <w:trPr>
          <w:trHeight w:val="269"/>
        </w:trPr>
        <w:tc>
          <w:tcPr>
            <w:tcW w:w="2178" w:type="dxa"/>
            <w:tcBorders>
              <w:top w:val="single" w:sz="4" w:space="0" w:color="auto"/>
              <w:left w:val="single" w:sz="4" w:space="0" w:color="auto"/>
              <w:bottom w:val="single" w:sz="4" w:space="0" w:color="auto"/>
              <w:right w:val="single" w:sz="4" w:space="0" w:color="auto"/>
            </w:tcBorders>
            <w:hideMark/>
          </w:tcPr>
          <w:p w:rsidR="00A230FD" w:rsidRPr="00AF64A2" w:rsidRDefault="00A230FD" w:rsidP="00532A1F">
            <w:pPr>
              <w:pStyle w:val="TAL"/>
            </w:pPr>
            <w:r w:rsidRPr="00AF64A2">
              <w:t>Simulation bandwidth</w:t>
            </w:r>
          </w:p>
        </w:tc>
        <w:tc>
          <w:tcPr>
            <w:tcW w:w="7740" w:type="dxa"/>
            <w:tcBorders>
              <w:top w:val="single" w:sz="4" w:space="0" w:color="auto"/>
              <w:left w:val="single" w:sz="4" w:space="0" w:color="auto"/>
              <w:bottom w:val="single" w:sz="4" w:space="0" w:color="auto"/>
              <w:right w:val="single" w:sz="4" w:space="0" w:color="auto"/>
            </w:tcBorders>
            <w:hideMark/>
          </w:tcPr>
          <w:p w:rsidR="00A230FD" w:rsidRPr="00AF64A2" w:rsidRDefault="00A230FD" w:rsidP="00532A1F">
            <w:pPr>
              <w:pStyle w:val="TAL"/>
            </w:pPr>
            <w:r w:rsidRPr="00AF64A2">
              <w:t xml:space="preserve">Per CC BW is </w:t>
            </w:r>
            <w:r w:rsidR="006C5F4F">
              <w:t>100MHz</w:t>
            </w:r>
            <w:r w:rsidRPr="00AF64A2">
              <w:t xml:space="preserve"> </w:t>
            </w:r>
          </w:p>
        </w:tc>
      </w:tr>
      <w:tr w:rsidR="006C5F4F" w:rsidTr="006C5F4F">
        <w:trPr>
          <w:trHeight w:val="1524"/>
        </w:trPr>
        <w:tc>
          <w:tcPr>
            <w:tcW w:w="2178" w:type="dxa"/>
            <w:tcBorders>
              <w:top w:val="single" w:sz="4" w:space="0" w:color="auto"/>
              <w:left w:val="single" w:sz="4" w:space="0" w:color="auto"/>
              <w:bottom w:val="single" w:sz="4" w:space="0" w:color="auto"/>
              <w:right w:val="single" w:sz="4" w:space="0" w:color="auto"/>
            </w:tcBorders>
            <w:hideMark/>
          </w:tcPr>
          <w:p w:rsidR="006C5F4F" w:rsidRPr="00AF64A2" w:rsidRDefault="006C5F4F" w:rsidP="00532A1F">
            <w:pPr>
              <w:pStyle w:val="TAL"/>
            </w:pPr>
            <w:r w:rsidRPr="00AF64A2">
              <w:t>Large-scale channel parameters</w:t>
            </w:r>
          </w:p>
        </w:tc>
        <w:tc>
          <w:tcPr>
            <w:tcW w:w="7740" w:type="dxa"/>
            <w:tcBorders>
              <w:top w:val="single" w:sz="4" w:space="0" w:color="auto"/>
              <w:left w:val="single" w:sz="4" w:space="0" w:color="auto"/>
              <w:bottom w:val="single" w:sz="4" w:space="0" w:color="auto"/>
              <w:right w:val="single" w:sz="4" w:space="0" w:color="auto"/>
            </w:tcBorders>
          </w:tcPr>
          <w:p w:rsidR="006C5F4F" w:rsidRPr="00AF64A2" w:rsidRDefault="006C5F4F" w:rsidP="00532A1F">
            <w:pPr>
              <w:pStyle w:val="TAL"/>
            </w:pPr>
            <w:r w:rsidRPr="00AF64A2">
              <w:t xml:space="preserve">- Micro-to-UE: </w:t>
            </w:r>
            <w:proofErr w:type="spellStart"/>
            <w:r w:rsidRPr="00AF64A2">
              <w:t>UMi</w:t>
            </w:r>
            <w:proofErr w:type="spellEnd"/>
            <w:r w:rsidRPr="00AF64A2">
              <w:t>-Street canyon</w:t>
            </w:r>
          </w:p>
          <w:p w:rsidR="006C5F4F" w:rsidRPr="00AF64A2" w:rsidRDefault="006C5F4F" w:rsidP="00532A1F">
            <w:pPr>
              <w:pStyle w:val="TAL"/>
            </w:pPr>
            <w:r w:rsidRPr="00AF64A2">
              <w:t xml:space="preserve">- Micro-to-Micro: </w:t>
            </w:r>
            <w:proofErr w:type="spellStart"/>
            <w:r w:rsidRPr="00AF64A2">
              <w:t>UMi</w:t>
            </w:r>
            <w:proofErr w:type="spellEnd"/>
            <w:r w:rsidRPr="00AF64A2">
              <w:t>-Street canyon (</w:t>
            </w:r>
            <w:proofErr w:type="spellStart"/>
            <w:r w:rsidRPr="00AF64A2">
              <w:t>h</w:t>
            </w:r>
            <w:r w:rsidRPr="00AF64A2">
              <w:rPr>
                <w:vertAlign w:val="subscript"/>
              </w:rPr>
              <w:t>UE</w:t>
            </w:r>
            <w:proofErr w:type="spellEnd"/>
            <w:r w:rsidRPr="00AF64A2">
              <w:t xml:space="preserve"> =10m) </w:t>
            </w:r>
          </w:p>
          <w:p w:rsidR="006C5F4F" w:rsidRPr="00AF64A2" w:rsidRDefault="006C5F4F" w:rsidP="00532A1F">
            <w:pPr>
              <w:pStyle w:val="TAL"/>
            </w:pPr>
            <w:r w:rsidRPr="00AF64A2">
              <w:t xml:space="preserve">- UE-to-UE: </w:t>
            </w:r>
            <w:proofErr w:type="spellStart"/>
            <w:r w:rsidRPr="00AF64A2">
              <w:t>UMi</w:t>
            </w:r>
            <w:proofErr w:type="spellEnd"/>
            <w:r w:rsidRPr="00AF64A2">
              <w:t>-Street canyon (</w:t>
            </w:r>
            <w:proofErr w:type="spellStart"/>
            <w:r w:rsidRPr="00AF64A2">
              <w:t>h</w:t>
            </w:r>
            <w:r w:rsidRPr="00AF64A2">
              <w:rPr>
                <w:vertAlign w:val="subscript"/>
              </w:rPr>
              <w:t>BS</w:t>
            </w:r>
            <w:proofErr w:type="spellEnd"/>
            <w:r w:rsidRPr="00AF64A2">
              <w:t xml:space="preserve"> =1.5m ~ 22.5m), penetration loss between UEs</w:t>
            </w:r>
            <w:r w:rsidRPr="00AF64A2">
              <w:rPr>
                <w:lang w:eastAsia="zh-CN"/>
              </w:rPr>
              <w:t xml:space="preserve"> follows Table A.2.1-1</w:t>
            </w:r>
            <w:r w:rsidRPr="00AF64A2">
              <w:t>2 of TR38.802</w:t>
            </w:r>
          </w:p>
          <w:p w:rsidR="006C5F4F" w:rsidRPr="00AF64A2" w:rsidRDefault="006C5F4F" w:rsidP="00532A1F">
            <w:pPr>
              <w:pStyle w:val="TAL"/>
            </w:pPr>
          </w:p>
          <w:p w:rsidR="006C5F4F" w:rsidRPr="00AF64A2" w:rsidRDefault="006C5F4F" w:rsidP="00532A1F">
            <w:pPr>
              <w:pStyle w:val="TAL"/>
            </w:pPr>
            <w:r w:rsidRPr="00AF64A2">
              <w:t>The path loss for links between the IAB-node and candidate serving IAB-nodes/donors is determined based on N =3 independent large-scale channel realizations (</w:t>
            </w:r>
            <w:proofErr w:type="gramStart"/>
            <w:r w:rsidRPr="00AF64A2">
              <w:t>taking into account</w:t>
            </w:r>
            <w:proofErr w:type="gramEnd"/>
            <w:r w:rsidRPr="00AF64A2">
              <w:t xml:space="preserve"> LOS/NLOS probability and shadow fading). </w:t>
            </w:r>
            <w:r w:rsidRPr="00076E18">
              <w:rPr>
                <w:lang w:val="en-US"/>
              </w:rPr>
              <w:t>T</w:t>
            </w:r>
            <w:r w:rsidRPr="00AF64A2">
              <w:t>he realization that results in the minimum pathloss between the IAB-node and the associated serving IAB-node/donor is selected.</w:t>
            </w:r>
          </w:p>
          <w:p w:rsidR="006C5F4F" w:rsidRPr="00AF64A2" w:rsidRDefault="006C5F4F" w:rsidP="00532A1F">
            <w:pPr>
              <w:pStyle w:val="TAL"/>
            </w:pPr>
          </w:p>
        </w:tc>
      </w:tr>
      <w:tr w:rsidR="00A230FD" w:rsidTr="006C5F4F">
        <w:trPr>
          <w:trHeight w:val="548"/>
        </w:trPr>
        <w:tc>
          <w:tcPr>
            <w:tcW w:w="2178" w:type="dxa"/>
            <w:tcBorders>
              <w:top w:val="single" w:sz="4" w:space="0" w:color="auto"/>
              <w:left w:val="single" w:sz="4" w:space="0" w:color="auto"/>
              <w:bottom w:val="single" w:sz="4" w:space="0" w:color="auto"/>
              <w:right w:val="single" w:sz="4" w:space="0" w:color="auto"/>
            </w:tcBorders>
            <w:hideMark/>
          </w:tcPr>
          <w:p w:rsidR="00A230FD" w:rsidRPr="00AF64A2" w:rsidRDefault="00A230FD" w:rsidP="00532A1F">
            <w:pPr>
              <w:pStyle w:val="TAL"/>
            </w:pPr>
            <w:r w:rsidRPr="00AF64A2">
              <w:t>Fast fading parameters</w:t>
            </w:r>
          </w:p>
        </w:tc>
        <w:tc>
          <w:tcPr>
            <w:tcW w:w="7740" w:type="dxa"/>
            <w:tcBorders>
              <w:top w:val="single" w:sz="4" w:space="0" w:color="auto"/>
              <w:left w:val="single" w:sz="4" w:space="0" w:color="auto"/>
              <w:bottom w:val="single" w:sz="4" w:space="0" w:color="auto"/>
              <w:right w:val="single" w:sz="4" w:space="0" w:color="auto"/>
            </w:tcBorders>
          </w:tcPr>
          <w:p w:rsidR="00A230FD" w:rsidRPr="00AF64A2" w:rsidRDefault="00A230FD" w:rsidP="00532A1F">
            <w:pPr>
              <w:pStyle w:val="TAL"/>
            </w:pPr>
            <w:r w:rsidRPr="00AF64A2">
              <w:t xml:space="preserve">- Micro to Micro: </w:t>
            </w:r>
            <w:proofErr w:type="spellStart"/>
            <w:r w:rsidRPr="00AF64A2">
              <w:t>UMi</w:t>
            </w:r>
            <w:proofErr w:type="spellEnd"/>
            <w:r w:rsidRPr="00AF64A2">
              <w:t>-Street canyon O-to-O (</w:t>
            </w:r>
            <w:proofErr w:type="spellStart"/>
            <w:r w:rsidRPr="00AF64A2">
              <w:t>h</w:t>
            </w:r>
            <w:r w:rsidRPr="00AF64A2">
              <w:rPr>
                <w:vertAlign w:val="subscript"/>
              </w:rPr>
              <w:t>UE</w:t>
            </w:r>
            <w:proofErr w:type="spellEnd"/>
            <w:r w:rsidRPr="00AF64A2">
              <w:t xml:space="preserve"> =10m); ASA and ZSA statistics updated to be the same as ASD and ZSD; </w:t>
            </w:r>
            <w:proofErr w:type="spellStart"/>
            <w:r w:rsidRPr="00AF64A2">
              <w:t>ZoD</w:t>
            </w:r>
            <w:proofErr w:type="spellEnd"/>
            <w:r w:rsidRPr="00AF64A2">
              <w:t xml:space="preserve"> offset = 0</w:t>
            </w:r>
          </w:p>
          <w:p w:rsidR="00A230FD" w:rsidRPr="00AF64A2" w:rsidRDefault="00A230FD" w:rsidP="00532A1F">
            <w:pPr>
              <w:pStyle w:val="TAL"/>
            </w:pPr>
          </w:p>
        </w:tc>
      </w:tr>
      <w:tr w:rsidR="00A230FD" w:rsidTr="002A578B">
        <w:trPr>
          <w:trHeight w:val="611"/>
        </w:trPr>
        <w:tc>
          <w:tcPr>
            <w:tcW w:w="2178" w:type="dxa"/>
            <w:tcBorders>
              <w:top w:val="single" w:sz="4" w:space="0" w:color="auto"/>
              <w:left w:val="single" w:sz="4" w:space="0" w:color="auto"/>
              <w:bottom w:val="single" w:sz="4" w:space="0" w:color="auto"/>
              <w:right w:val="single" w:sz="4" w:space="0" w:color="auto"/>
            </w:tcBorders>
            <w:hideMark/>
          </w:tcPr>
          <w:p w:rsidR="00A230FD" w:rsidRPr="00AF64A2" w:rsidRDefault="00A230FD" w:rsidP="00532A1F">
            <w:pPr>
              <w:pStyle w:val="TAL"/>
            </w:pPr>
            <w:r w:rsidRPr="00AF64A2">
              <w:t xml:space="preserve">BS Tx power </w:t>
            </w:r>
          </w:p>
        </w:tc>
        <w:tc>
          <w:tcPr>
            <w:tcW w:w="7740" w:type="dxa"/>
            <w:tcBorders>
              <w:top w:val="single" w:sz="4" w:space="0" w:color="auto"/>
              <w:left w:val="single" w:sz="4" w:space="0" w:color="auto"/>
              <w:bottom w:val="single" w:sz="4" w:space="0" w:color="auto"/>
              <w:right w:val="single" w:sz="4" w:space="0" w:color="auto"/>
            </w:tcBorders>
            <w:hideMark/>
          </w:tcPr>
          <w:p w:rsidR="00A230FD" w:rsidRPr="00AF64A2" w:rsidRDefault="00A230FD" w:rsidP="00532A1F">
            <w:pPr>
              <w:pStyle w:val="TAL"/>
            </w:pPr>
            <w:r w:rsidRPr="00AF64A2">
              <w:t>33dBm</w:t>
            </w:r>
          </w:p>
          <w:p w:rsidR="00A230FD" w:rsidRPr="00AF64A2" w:rsidRDefault="00A230FD" w:rsidP="00532A1F">
            <w:pPr>
              <w:pStyle w:val="TAL"/>
            </w:pPr>
            <w:r w:rsidRPr="00AF64A2">
              <w:t>EIRP should not exceed 68 dBm (*)</w:t>
            </w:r>
          </w:p>
        </w:tc>
      </w:tr>
      <w:tr w:rsidR="00A230FD" w:rsidTr="006C5F4F">
        <w:trPr>
          <w:trHeight w:val="588"/>
        </w:trPr>
        <w:tc>
          <w:tcPr>
            <w:tcW w:w="2178" w:type="dxa"/>
            <w:tcBorders>
              <w:top w:val="single" w:sz="4" w:space="0" w:color="auto"/>
              <w:left w:val="single" w:sz="4" w:space="0" w:color="auto"/>
              <w:bottom w:val="single" w:sz="4" w:space="0" w:color="auto"/>
              <w:right w:val="single" w:sz="4" w:space="0" w:color="auto"/>
            </w:tcBorders>
            <w:hideMark/>
          </w:tcPr>
          <w:p w:rsidR="00A230FD" w:rsidRPr="00AF64A2" w:rsidRDefault="00A230FD" w:rsidP="00532A1F">
            <w:pPr>
              <w:pStyle w:val="TAL"/>
            </w:pPr>
            <w:r w:rsidRPr="00AF64A2">
              <w:t>BS antenna configurations</w:t>
            </w:r>
          </w:p>
        </w:tc>
        <w:tc>
          <w:tcPr>
            <w:tcW w:w="7740" w:type="dxa"/>
            <w:tcBorders>
              <w:top w:val="single" w:sz="4" w:space="0" w:color="auto"/>
              <w:left w:val="single" w:sz="4" w:space="0" w:color="auto"/>
              <w:bottom w:val="single" w:sz="4" w:space="0" w:color="auto"/>
              <w:right w:val="single" w:sz="4" w:space="0" w:color="auto"/>
            </w:tcBorders>
            <w:hideMark/>
          </w:tcPr>
          <w:p w:rsidR="00A230FD" w:rsidRPr="00AF64A2" w:rsidRDefault="00A230FD" w:rsidP="00532A1F">
            <w:pPr>
              <w:pStyle w:val="TAL"/>
            </w:pPr>
            <w:r w:rsidRPr="00AF64A2">
              <w:t>See Table A.2.1-4 of TR38.802.</w:t>
            </w:r>
          </w:p>
          <w:p w:rsidR="00A230FD" w:rsidRPr="00AF64A2" w:rsidRDefault="00A230FD" w:rsidP="00532A1F">
            <w:pPr>
              <w:pStyle w:val="TAL"/>
            </w:pPr>
          </w:p>
          <w:p w:rsidR="00A230FD" w:rsidRPr="00AF64A2" w:rsidRDefault="00A230FD" w:rsidP="00532A1F">
            <w:pPr>
              <w:pStyle w:val="TAL"/>
              <w:rPr>
                <w:u w:val="single"/>
              </w:rPr>
            </w:pPr>
            <w:r w:rsidRPr="00AF64A2">
              <w:rPr>
                <w:u w:val="single"/>
              </w:rPr>
              <w:t xml:space="preserve">At least </w:t>
            </w:r>
            <w:proofErr w:type="gramStart"/>
            <w:r w:rsidRPr="00AF64A2">
              <w:rPr>
                <w:u w:val="single"/>
              </w:rPr>
              <w:t>for the purpose of</w:t>
            </w:r>
            <w:proofErr w:type="gramEnd"/>
            <w:r w:rsidRPr="00AF64A2">
              <w:rPr>
                <w:u w:val="single"/>
              </w:rPr>
              <w:t xml:space="preserve"> IAB evaluations, when the IAB-node has multiple panels, access and backhaul traffic can be sent on any panel, subject to the per IAB-node half duplex constraint.</w:t>
            </w:r>
          </w:p>
        </w:tc>
      </w:tr>
      <w:tr w:rsidR="00A230FD" w:rsidTr="006C5F4F">
        <w:trPr>
          <w:trHeight w:val="296"/>
        </w:trPr>
        <w:tc>
          <w:tcPr>
            <w:tcW w:w="2178" w:type="dxa"/>
            <w:tcBorders>
              <w:top w:val="single" w:sz="4" w:space="0" w:color="auto"/>
              <w:left w:val="single" w:sz="4" w:space="0" w:color="auto"/>
              <w:bottom w:val="single" w:sz="4" w:space="0" w:color="auto"/>
              <w:right w:val="single" w:sz="4" w:space="0" w:color="auto"/>
            </w:tcBorders>
            <w:hideMark/>
          </w:tcPr>
          <w:p w:rsidR="00A230FD" w:rsidRPr="00AF64A2" w:rsidRDefault="00A230FD" w:rsidP="00532A1F">
            <w:pPr>
              <w:pStyle w:val="TAL"/>
            </w:pPr>
            <w:r w:rsidRPr="00AF64A2">
              <w:t xml:space="preserve">BS antenna height </w:t>
            </w:r>
          </w:p>
        </w:tc>
        <w:tc>
          <w:tcPr>
            <w:tcW w:w="7740" w:type="dxa"/>
            <w:tcBorders>
              <w:top w:val="single" w:sz="4" w:space="0" w:color="auto"/>
              <w:left w:val="single" w:sz="4" w:space="0" w:color="auto"/>
              <w:bottom w:val="single" w:sz="4" w:space="0" w:color="auto"/>
              <w:right w:val="single" w:sz="4" w:space="0" w:color="auto"/>
            </w:tcBorders>
            <w:hideMark/>
          </w:tcPr>
          <w:p w:rsidR="00A230FD" w:rsidRPr="00AF64A2" w:rsidRDefault="00A230FD" w:rsidP="00532A1F">
            <w:pPr>
              <w:pStyle w:val="TAL"/>
            </w:pPr>
            <w:r w:rsidRPr="00AF64A2">
              <w:t>10 m</w:t>
            </w:r>
          </w:p>
        </w:tc>
      </w:tr>
      <w:tr w:rsidR="00A230FD" w:rsidTr="006C5F4F">
        <w:trPr>
          <w:trHeight w:val="530"/>
        </w:trPr>
        <w:tc>
          <w:tcPr>
            <w:tcW w:w="2178" w:type="dxa"/>
            <w:tcBorders>
              <w:top w:val="single" w:sz="4" w:space="0" w:color="auto"/>
              <w:left w:val="single" w:sz="4" w:space="0" w:color="auto"/>
              <w:bottom w:val="single" w:sz="4" w:space="0" w:color="auto"/>
              <w:right w:val="single" w:sz="4" w:space="0" w:color="auto"/>
            </w:tcBorders>
            <w:hideMark/>
          </w:tcPr>
          <w:p w:rsidR="00A230FD" w:rsidRPr="00AF64A2" w:rsidRDefault="00A230FD" w:rsidP="00532A1F">
            <w:pPr>
              <w:pStyle w:val="TAL"/>
            </w:pPr>
            <w:r w:rsidRPr="00AF64A2">
              <w:t>BS antenna element gain + connector loss</w:t>
            </w:r>
          </w:p>
        </w:tc>
        <w:tc>
          <w:tcPr>
            <w:tcW w:w="7740" w:type="dxa"/>
            <w:tcBorders>
              <w:top w:val="single" w:sz="4" w:space="0" w:color="auto"/>
              <w:left w:val="single" w:sz="4" w:space="0" w:color="auto"/>
              <w:bottom w:val="single" w:sz="4" w:space="0" w:color="auto"/>
              <w:right w:val="single" w:sz="4" w:space="0" w:color="auto"/>
            </w:tcBorders>
            <w:hideMark/>
          </w:tcPr>
          <w:p w:rsidR="00A230FD" w:rsidRPr="00AF64A2" w:rsidRDefault="00A230FD" w:rsidP="00532A1F">
            <w:pPr>
              <w:pStyle w:val="TAL"/>
            </w:pPr>
            <w:r w:rsidRPr="00AF64A2">
              <w:t>See Table A.2.1-4 of TR38.802</w:t>
            </w:r>
          </w:p>
        </w:tc>
      </w:tr>
      <w:tr w:rsidR="00A230FD" w:rsidTr="006C5F4F">
        <w:trPr>
          <w:trHeight w:val="350"/>
        </w:trPr>
        <w:tc>
          <w:tcPr>
            <w:tcW w:w="2178" w:type="dxa"/>
            <w:tcBorders>
              <w:top w:val="single" w:sz="4" w:space="0" w:color="auto"/>
              <w:left w:val="single" w:sz="4" w:space="0" w:color="auto"/>
              <w:bottom w:val="single" w:sz="4" w:space="0" w:color="auto"/>
              <w:right w:val="single" w:sz="4" w:space="0" w:color="auto"/>
            </w:tcBorders>
            <w:hideMark/>
          </w:tcPr>
          <w:p w:rsidR="00A230FD" w:rsidRPr="00AF64A2" w:rsidRDefault="00A230FD" w:rsidP="00532A1F">
            <w:pPr>
              <w:pStyle w:val="TAL"/>
            </w:pPr>
            <w:r w:rsidRPr="00AF64A2">
              <w:t>BS receiver noise figure</w:t>
            </w:r>
          </w:p>
        </w:tc>
        <w:tc>
          <w:tcPr>
            <w:tcW w:w="7740" w:type="dxa"/>
            <w:tcBorders>
              <w:top w:val="single" w:sz="4" w:space="0" w:color="auto"/>
              <w:left w:val="single" w:sz="4" w:space="0" w:color="auto"/>
              <w:bottom w:val="single" w:sz="4" w:space="0" w:color="auto"/>
              <w:right w:val="single" w:sz="4" w:space="0" w:color="auto"/>
            </w:tcBorders>
            <w:hideMark/>
          </w:tcPr>
          <w:p w:rsidR="00A230FD" w:rsidRPr="00AF64A2" w:rsidRDefault="00A230FD" w:rsidP="00532A1F">
            <w:pPr>
              <w:pStyle w:val="TAL"/>
            </w:pPr>
            <w:r w:rsidRPr="00AF64A2">
              <w:t>7dB</w:t>
            </w:r>
          </w:p>
        </w:tc>
      </w:tr>
    </w:tbl>
    <w:p w:rsidR="00A230FD" w:rsidRDefault="00A230FD" w:rsidP="00A230FD">
      <w:pPr>
        <w:pStyle w:val="maintext"/>
        <w:ind w:firstLineChars="0" w:firstLine="0"/>
        <w:rPr>
          <w:rFonts w:ascii="Calibri" w:hAnsi="Calibri"/>
          <w:b/>
        </w:rPr>
      </w:pPr>
    </w:p>
    <w:p w:rsidR="007D3A4A" w:rsidRDefault="007D3A4A" w:rsidP="00A230FD">
      <w:pPr>
        <w:pStyle w:val="maintext"/>
        <w:ind w:firstLineChars="0" w:firstLine="0"/>
        <w:rPr>
          <w:rFonts w:ascii="Calibri" w:hAnsi="Calibri"/>
        </w:rPr>
      </w:pPr>
      <w:r>
        <w:rPr>
          <w:rFonts w:ascii="Calibri" w:hAnsi="Calibri"/>
        </w:rPr>
        <w:t>One additional question which is especially relevant for IAB is the activity level of the different access and backhaul links served by the IAB nodes and IAB donor nodes. Due to the nature of the multi-hop topology, it is a reasonable assumption that the activity level of a given IAB node is the distance from the donor (e.g. the probability that an IAB node is active decreases as hop order increases). Also, typically the IAB donor will be almost 100% active on the DL and UL resources assuming a moderate to large topology is managed underneath it. However, the contribution of the donor nodes to the adjacent channel interference is no different than in the case a non-IAB network is evaluated, since the donor nodes do not have their own UL transmissions (e.g. no MT functionality), so the key aspect is to accurately model the IAB node activity level. A statistical model can be derived by running basic system-level simulations once the basic assumptions are agreed.</w:t>
      </w:r>
    </w:p>
    <w:p w:rsidR="00AC6C0F" w:rsidRDefault="007D3A4A" w:rsidP="00AC6C0F">
      <w:pPr>
        <w:pStyle w:val="maintext"/>
        <w:ind w:firstLineChars="0" w:firstLine="0"/>
        <w:rPr>
          <w:rFonts w:ascii="Calibri" w:hAnsi="Calibri"/>
          <w:b/>
        </w:rPr>
      </w:pPr>
      <w:r>
        <w:rPr>
          <w:rFonts w:ascii="Calibri" w:hAnsi="Calibri"/>
          <w:b/>
        </w:rPr>
        <w:lastRenderedPageBreak/>
        <w:t xml:space="preserve">Proposal 2: </w:t>
      </w:r>
      <w:r>
        <w:rPr>
          <w:rFonts w:ascii="Calibri" w:hAnsi="Calibri"/>
        </w:rPr>
        <w:t xml:space="preserve"> </w:t>
      </w:r>
      <w:r w:rsidRPr="007D3A4A">
        <w:rPr>
          <w:rFonts w:ascii="Calibri" w:hAnsi="Calibri"/>
          <w:b/>
        </w:rPr>
        <w:t>For the purpose of co-existence evaluations, the IAB donor nodes can be assume</w:t>
      </w:r>
      <w:r>
        <w:rPr>
          <w:rFonts w:ascii="Calibri" w:hAnsi="Calibri"/>
          <w:b/>
        </w:rPr>
        <w:t>d</w:t>
      </w:r>
      <w:r w:rsidRPr="007D3A4A">
        <w:rPr>
          <w:rFonts w:ascii="Calibri" w:hAnsi="Calibri"/>
          <w:b/>
        </w:rPr>
        <w:t xml:space="preserve"> to be always active</w:t>
      </w:r>
      <w:r>
        <w:rPr>
          <w:rFonts w:ascii="Calibri" w:hAnsi="Calibri"/>
          <w:b/>
        </w:rPr>
        <w:t xml:space="preserve"> and the probability that given IAB node is active should be a function of </w:t>
      </w:r>
      <w:r w:rsidR="00AC6C0F">
        <w:rPr>
          <w:rFonts w:ascii="Calibri" w:hAnsi="Calibri"/>
          <w:b/>
        </w:rPr>
        <w:t>hop order and subject to the half-duplex constraint.</w:t>
      </w:r>
    </w:p>
    <w:p w:rsidR="00F65CC7" w:rsidRPr="00F65CC7" w:rsidRDefault="00AC6C0F" w:rsidP="00AC6C0F">
      <w:pPr>
        <w:pStyle w:val="maintext"/>
        <w:ind w:firstLineChars="0" w:firstLine="0"/>
        <w:rPr>
          <w:rFonts w:cs="Arial"/>
          <w:lang w:eastAsia="ja-JP"/>
        </w:rPr>
      </w:pPr>
      <w:r>
        <w:rPr>
          <w:rFonts w:ascii="Calibri" w:hAnsi="Calibri"/>
          <w:b/>
        </w:rPr>
        <w:t>FFS: The activity distribution, pending evaluations based on the TBD simulation assumptions.</w:t>
      </w:r>
      <w:r w:rsidRPr="00F65CC7">
        <w:rPr>
          <w:rFonts w:cs="Arial"/>
          <w:lang w:eastAsia="ja-JP"/>
        </w:rPr>
        <w:t xml:space="preserve"> </w:t>
      </w:r>
    </w:p>
    <w:p w:rsidR="00CB4FDD" w:rsidRPr="00172743" w:rsidRDefault="00CB4FDD" w:rsidP="00CB4FDD">
      <w:pPr>
        <w:pStyle w:val="Heading1"/>
      </w:pPr>
      <w:r w:rsidRPr="00172743">
        <w:t>Conclusion</w:t>
      </w:r>
    </w:p>
    <w:p w:rsidR="00CB4FDD" w:rsidRDefault="00CB4FDD" w:rsidP="00CB4FDD">
      <w:pPr>
        <w:spacing w:before="0" w:after="0"/>
        <w:rPr>
          <w:rFonts w:ascii="Calibri" w:hAnsi="Calibri"/>
        </w:rPr>
      </w:pPr>
      <w:r w:rsidRPr="00233D70">
        <w:rPr>
          <w:rFonts w:ascii="Calibri" w:hAnsi="Calibri"/>
        </w:rPr>
        <w:t>This d</w:t>
      </w:r>
      <w:r>
        <w:rPr>
          <w:rFonts w:ascii="Calibri" w:hAnsi="Calibri"/>
        </w:rPr>
        <w:t>ocument provides an overview of the key co-existence scenarios for IAB. The following proposals were made:</w:t>
      </w:r>
    </w:p>
    <w:p w:rsidR="00AC6C0F" w:rsidRDefault="00AC6C0F" w:rsidP="00AC6C0F">
      <w:pPr>
        <w:pStyle w:val="maintext"/>
        <w:ind w:firstLineChars="0" w:firstLine="0"/>
        <w:rPr>
          <w:rFonts w:ascii="Calibri" w:hAnsi="Calibri"/>
          <w:b/>
        </w:rPr>
      </w:pPr>
      <w:r>
        <w:rPr>
          <w:rFonts w:ascii="Calibri" w:hAnsi="Calibri"/>
          <w:b/>
        </w:rPr>
        <w:t>Proposal</w:t>
      </w:r>
      <w:r w:rsidR="00F83E88">
        <w:rPr>
          <w:rFonts w:ascii="Calibri" w:hAnsi="Calibri"/>
          <w:b/>
        </w:rPr>
        <w:t xml:space="preserve"> 1</w:t>
      </w:r>
      <w:r>
        <w:rPr>
          <w:rFonts w:ascii="Calibri" w:hAnsi="Calibri"/>
          <w:b/>
        </w:rPr>
        <w:t>: Adopt the following parameters for co-existence simulations based on Table A.1-1 of TR 38.874: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8"/>
        <w:gridCol w:w="7740"/>
      </w:tblGrid>
      <w:tr w:rsidR="00AC6C0F" w:rsidTr="002733B1">
        <w:trPr>
          <w:trHeight w:val="300"/>
        </w:trPr>
        <w:tc>
          <w:tcPr>
            <w:tcW w:w="2178" w:type="dxa"/>
            <w:tcBorders>
              <w:top w:val="single" w:sz="4" w:space="0" w:color="auto"/>
              <w:left w:val="single" w:sz="4" w:space="0" w:color="auto"/>
              <w:bottom w:val="single" w:sz="4" w:space="0" w:color="auto"/>
              <w:right w:val="single" w:sz="4" w:space="0" w:color="auto"/>
            </w:tcBorders>
            <w:shd w:val="clear" w:color="auto" w:fill="D9D9D9"/>
            <w:hideMark/>
          </w:tcPr>
          <w:p w:rsidR="00AC6C0F" w:rsidRPr="00AF64A2" w:rsidRDefault="00AC6C0F" w:rsidP="002733B1">
            <w:pPr>
              <w:pStyle w:val="TAH"/>
              <w:rPr>
                <w:lang w:val="en-GB" w:eastAsia="ja-JP"/>
              </w:rPr>
            </w:pPr>
            <w:r w:rsidRPr="00AF64A2">
              <w:rPr>
                <w:lang w:val="en-GB" w:eastAsia="ja-JP"/>
              </w:rPr>
              <w:t>Parameters</w:t>
            </w:r>
          </w:p>
        </w:tc>
        <w:tc>
          <w:tcPr>
            <w:tcW w:w="7740" w:type="dxa"/>
            <w:tcBorders>
              <w:top w:val="single" w:sz="4" w:space="0" w:color="auto"/>
              <w:left w:val="single" w:sz="4" w:space="0" w:color="auto"/>
              <w:bottom w:val="single" w:sz="4" w:space="0" w:color="auto"/>
              <w:right w:val="single" w:sz="4" w:space="0" w:color="auto"/>
            </w:tcBorders>
            <w:shd w:val="clear" w:color="auto" w:fill="D9D9D9"/>
            <w:hideMark/>
          </w:tcPr>
          <w:p w:rsidR="00AC6C0F" w:rsidRPr="00AF64A2" w:rsidRDefault="00AC6C0F" w:rsidP="002733B1">
            <w:pPr>
              <w:pStyle w:val="TAH"/>
              <w:rPr>
                <w:lang w:val="en-GB" w:eastAsia="ja-JP"/>
              </w:rPr>
            </w:pPr>
            <w:r w:rsidRPr="00AF64A2">
              <w:rPr>
                <w:lang w:val="en-GB" w:eastAsia="ja-JP"/>
              </w:rPr>
              <w:t>Homogeneous scenario (urban micro)</w:t>
            </w:r>
          </w:p>
        </w:tc>
      </w:tr>
      <w:tr w:rsidR="00AC6C0F" w:rsidTr="002733B1">
        <w:trPr>
          <w:trHeight w:val="1934"/>
        </w:trPr>
        <w:tc>
          <w:tcPr>
            <w:tcW w:w="2178" w:type="dxa"/>
            <w:tcBorders>
              <w:top w:val="single" w:sz="4" w:space="0" w:color="auto"/>
              <w:left w:val="single" w:sz="4" w:space="0" w:color="auto"/>
              <w:bottom w:val="single" w:sz="4" w:space="0" w:color="auto"/>
              <w:right w:val="single" w:sz="4" w:space="0" w:color="auto"/>
            </w:tcBorders>
            <w:hideMark/>
          </w:tcPr>
          <w:p w:rsidR="00AC6C0F" w:rsidRPr="00AF64A2" w:rsidRDefault="00AC6C0F" w:rsidP="002733B1">
            <w:pPr>
              <w:pStyle w:val="TAL"/>
            </w:pPr>
            <w:r w:rsidRPr="00AF64A2">
              <w:t>Layout</w:t>
            </w:r>
          </w:p>
        </w:tc>
        <w:tc>
          <w:tcPr>
            <w:tcW w:w="7740" w:type="dxa"/>
            <w:tcBorders>
              <w:top w:val="single" w:sz="4" w:space="0" w:color="auto"/>
              <w:left w:val="single" w:sz="4" w:space="0" w:color="auto"/>
              <w:bottom w:val="single" w:sz="4" w:space="0" w:color="auto"/>
              <w:right w:val="single" w:sz="4" w:space="0" w:color="auto"/>
            </w:tcBorders>
          </w:tcPr>
          <w:p w:rsidR="00AC6C0F" w:rsidRPr="00AF64A2" w:rsidRDefault="00AC6C0F" w:rsidP="002733B1">
            <w:pPr>
              <w:pStyle w:val="TAL"/>
            </w:pPr>
            <w:r w:rsidRPr="00AF64A2">
              <w:rPr>
                <w:u w:val="single"/>
              </w:rPr>
              <w:t>Single layer</w:t>
            </w:r>
            <w:r w:rsidRPr="00AF64A2">
              <w:br/>
              <w:t>Micro layer: Hex. Grid</w:t>
            </w:r>
          </w:p>
          <w:p w:rsidR="00AC6C0F" w:rsidRPr="00AF64A2" w:rsidRDefault="00AC6C0F" w:rsidP="002733B1">
            <w:pPr>
              <w:pStyle w:val="TAL"/>
            </w:pPr>
            <w:r w:rsidRPr="00AF64A2">
              <w:t>19 sites</w:t>
            </w:r>
          </w:p>
          <w:p w:rsidR="00AC6C0F" w:rsidRPr="00AF64A2" w:rsidRDefault="00AC6C0F" w:rsidP="002733B1">
            <w:pPr>
              <w:pStyle w:val="TAL"/>
            </w:pPr>
          </w:p>
          <w:p w:rsidR="00AC6C0F" w:rsidRPr="00AF64A2" w:rsidRDefault="00AC6C0F" w:rsidP="002733B1">
            <w:pPr>
              <w:pStyle w:val="TAL"/>
            </w:pPr>
            <w:r w:rsidRPr="00AF64A2">
              <w:t>Number of IAB-donors (</w:t>
            </w:r>
            <w:proofErr w:type="spellStart"/>
            <w:r w:rsidRPr="00AF64A2">
              <w:t>Ndonor</w:t>
            </w:r>
            <w:proofErr w:type="spellEnd"/>
            <w:r w:rsidRPr="00AF64A2">
              <w:t>)</w:t>
            </w:r>
          </w:p>
          <w:p w:rsidR="00AC6C0F" w:rsidRPr="00AF64A2" w:rsidRDefault="00AC6C0F" w:rsidP="002733B1">
            <w:pPr>
              <w:pStyle w:val="TAL"/>
            </w:pPr>
            <w:r w:rsidRPr="00AF64A2">
              <w:t>3</w:t>
            </w:r>
          </w:p>
          <w:p w:rsidR="00AC6C0F" w:rsidRPr="00AF64A2" w:rsidRDefault="00AC6C0F" w:rsidP="002733B1">
            <w:pPr>
              <w:pStyle w:val="TAL"/>
            </w:pPr>
          </w:p>
          <w:p w:rsidR="00AC6C0F" w:rsidRPr="00AF64A2" w:rsidRDefault="00AC6C0F" w:rsidP="002733B1">
            <w:pPr>
              <w:pStyle w:val="TAL"/>
            </w:pPr>
            <w:r w:rsidRPr="00AF64A2">
              <w:t xml:space="preserve">Number of IAB-nodes is </w:t>
            </w:r>
          </w:p>
          <w:p w:rsidR="00AC6C0F" w:rsidRPr="00AF64A2" w:rsidRDefault="00AC6C0F" w:rsidP="002733B1">
            <w:pPr>
              <w:pStyle w:val="TAL"/>
            </w:pPr>
            <w:r w:rsidRPr="00AF64A2">
              <w:t xml:space="preserve">19 – </w:t>
            </w:r>
            <w:proofErr w:type="spellStart"/>
            <w:r w:rsidRPr="00AF64A2">
              <w:t>Ndonor</w:t>
            </w:r>
            <w:proofErr w:type="spellEnd"/>
          </w:p>
        </w:tc>
      </w:tr>
      <w:tr w:rsidR="00AC6C0F" w:rsidTr="002733B1">
        <w:trPr>
          <w:trHeight w:val="260"/>
        </w:trPr>
        <w:tc>
          <w:tcPr>
            <w:tcW w:w="2178" w:type="dxa"/>
            <w:tcBorders>
              <w:top w:val="single" w:sz="4" w:space="0" w:color="auto"/>
              <w:left w:val="single" w:sz="4" w:space="0" w:color="auto"/>
              <w:bottom w:val="single" w:sz="4" w:space="0" w:color="auto"/>
              <w:right w:val="single" w:sz="4" w:space="0" w:color="auto"/>
            </w:tcBorders>
            <w:hideMark/>
          </w:tcPr>
          <w:p w:rsidR="00AC6C0F" w:rsidRPr="00AF64A2" w:rsidRDefault="00AC6C0F" w:rsidP="002733B1">
            <w:pPr>
              <w:pStyle w:val="TAL"/>
            </w:pPr>
            <w:r w:rsidRPr="00AF64A2">
              <w:t xml:space="preserve">Inter-BS distance </w:t>
            </w:r>
          </w:p>
        </w:tc>
        <w:tc>
          <w:tcPr>
            <w:tcW w:w="7740" w:type="dxa"/>
            <w:tcBorders>
              <w:top w:val="single" w:sz="4" w:space="0" w:color="auto"/>
              <w:left w:val="single" w:sz="4" w:space="0" w:color="auto"/>
              <w:bottom w:val="single" w:sz="4" w:space="0" w:color="auto"/>
              <w:right w:val="single" w:sz="4" w:space="0" w:color="auto"/>
            </w:tcBorders>
            <w:hideMark/>
          </w:tcPr>
          <w:p w:rsidR="00AC6C0F" w:rsidRPr="00AF64A2" w:rsidRDefault="00AC6C0F" w:rsidP="002733B1">
            <w:pPr>
              <w:pStyle w:val="TAL"/>
            </w:pPr>
            <w:r w:rsidRPr="00AF64A2">
              <w:t>200m</w:t>
            </w:r>
          </w:p>
        </w:tc>
      </w:tr>
      <w:tr w:rsidR="00AC6C0F" w:rsidTr="002733B1">
        <w:trPr>
          <w:trHeight w:val="260"/>
        </w:trPr>
        <w:tc>
          <w:tcPr>
            <w:tcW w:w="2178" w:type="dxa"/>
            <w:tcBorders>
              <w:top w:val="single" w:sz="4" w:space="0" w:color="auto"/>
              <w:left w:val="single" w:sz="4" w:space="0" w:color="auto"/>
              <w:bottom w:val="single" w:sz="4" w:space="0" w:color="auto"/>
              <w:right w:val="single" w:sz="4" w:space="0" w:color="auto"/>
            </w:tcBorders>
            <w:hideMark/>
          </w:tcPr>
          <w:p w:rsidR="00AC6C0F" w:rsidRPr="00AF64A2" w:rsidRDefault="00AC6C0F" w:rsidP="002733B1">
            <w:pPr>
              <w:pStyle w:val="TAL"/>
            </w:pPr>
            <w:r w:rsidRPr="00AF64A2">
              <w:t>Topology formation</w:t>
            </w:r>
          </w:p>
        </w:tc>
        <w:tc>
          <w:tcPr>
            <w:tcW w:w="7740" w:type="dxa"/>
            <w:tcBorders>
              <w:top w:val="single" w:sz="4" w:space="0" w:color="auto"/>
              <w:left w:val="single" w:sz="4" w:space="0" w:color="auto"/>
              <w:bottom w:val="single" w:sz="4" w:space="0" w:color="auto"/>
              <w:right w:val="single" w:sz="4" w:space="0" w:color="auto"/>
            </w:tcBorders>
            <w:hideMark/>
          </w:tcPr>
          <w:p w:rsidR="00AC6C0F" w:rsidRPr="00AF64A2" w:rsidRDefault="00AC6C0F" w:rsidP="002733B1">
            <w:pPr>
              <w:pStyle w:val="TAL"/>
            </w:pPr>
            <w:r>
              <w:t>Max RSRP of candidate parent nodes</w:t>
            </w:r>
          </w:p>
          <w:p w:rsidR="00AC6C0F" w:rsidRPr="00AF64A2" w:rsidRDefault="00AC6C0F" w:rsidP="002733B1">
            <w:pPr>
              <w:pStyle w:val="TAL"/>
            </w:pPr>
          </w:p>
        </w:tc>
      </w:tr>
      <w:tr w:rsidR="00AC6C0F" w:rsidTr="002733B1">
        <w:trPr>
          <w:trHeight w:val="260"/>
        </w:trPr>
        <w:tc>
          <w:tcPr>
            <w:tcW w:w="2178" w:type="dxa"/>
            <w:tcBorders>
              <w:top w:val="single" w:sz="4" w:space="0" w:color="auto"/>
              <w:left w:val="single" w:sz="4" w:space="0" w:color="auto"/>
              <w:bottom w:val="single" w:sz="4" w:space="0" w:color="auto"/>
              <w:right w:val="single" w:sz="4" w:space="0" w:color="auto"/>
            </w:tcBorders>
            <w:hideMark/>
          </w:tcPr>
          <w:p w:rsidR="00AC6C0F" w:rsidRPr="00AF64A2" w:rsidRDefault="00AC6C0F" w:rsidP="002733B1">
            <w:pPr>
              <w:pStyle w:val="TAL"/>
            </w:pPr>
            <w:r w:rsidRPr="00AF64A2">
              <w:t xml:space="preserve">Carrier frequency </w:t>
            </w:r>
          </w:p>
        </w:tc>
        <w:tc>
          <w:tcPr>
            <w:tcW w:w="7740" w:type="dxa"/>
            <w:tcBorders>
              <w:top w:val="single" w:sz="4" w:space="0" w:color="auto"/>
              <w:left w:val="single" w:sz="4" w:space="0" w:color="auto"/>
              <w:bottom w:val="single" w:sz="4" w:space="0" w:color="auto"/>
              <w:right w:val="single" w:sz="4" w:space="0" w:color="auto"/>
            </w:tcBorders>
            <w:hideMark/>
          </w:tcPr>
          <w:p w:rsidR="00AC6C0F" w:rsidRPr="00AF64A2" w:rsidRDefault="00AC6C0F" w:rsidP="002733B1">
            <w:pPr>
              <w:pStyle w:val="TAL"/>
            </w:pPr>
            <w:r>
              <w:t>3</w:t>
            </w:r>
            <w:r w:rsidRPr="00AF64A2">
              <w:t>0GHz</w:t>
            </w:r>
          </w:p>
        </w:tc>
      </w:tr>
      <w:tr w:rsidR="00AC6C0F" w:rsidTr="002733B1">
        <w:trPr>
          <w:trHeight w:val="260"/>
        </w:trPr>
        <w:tc>
          <w:tcPr>
            <w:tcW w:w="2178" w:type="dxa"/>
            <w:tcBorders>
              <w:top w:val="single" w:sz="4" w:space="0" w:color="auto"/>
              <w:left w:val="single" w:sz="4" w:space="0" w:color="auto"/>
              <w:bottom w:val="single" w:sz="4" w:space="0" w:color="auto"/>
              <w:right w:val="single" w:sz="4" w:space="0" w:color="auto"/>
            </w:tcBorders>
            <w:hideMark/>
          </w:tcPr>
          <w:p w:rsidR="00AC6C0F" w:rsidRPr="00AF64A2" w:rsidRDefault="00AC6C0F" w:rsidP="002733B1">
            <w:pPr>
              <w:pStyle w:val="TAL"/>
            </w:pPr>
            <w:r w:rsidRPr="00AF64A2">
              <w:t>Duplex mode</w:t>
            </w:r>
          </w:p>
        </w:tc>
        <w:tc>
          <w:tcPr>
            <w:tcW w:w="7740" w:type="dxa"/>
            <w:tcBorders>
              <w:top w:val="single" w:sz="4" w:space="0" w:color="auto"/>
              <w:left w:val="single" w:sz="4" w:space="0" w:color="auto"/>
              <w:bottom w:val="single" w:sz="4" w:space="0" w:color="auto"/>
              <w:right w:val="single" w:sz="4" w:space="0" w:color="auto"/>
            </w:tcBorders>
            <w:hideMark/>
          </w:tcPr>
          <w:p w:rsidR="00AC6C0F" w:rsidRPr="00AF64A2" w:rsidRDefault="00AC6C0F" w:rsidP="002733B1">
            <w:pPr>
              <w:pStyle w:val="TAL"/>
            </w:pPr>
            <w:r w:rsidRPr="00AF64A2">
              <w:t>TDD</w:t>
            </w:r>
          </w:p>
        </w:tc>
      </w:tr>
      <w:tr w:rsidR="00AC6C0F" w:rsidTr="002733B1">
        <w:trPr>
          <w:trHeight w:val="692"/>
        </w:trPr>
        <w:tc>
          <w:tcPr>
            <w:tcW w:w="2178" w:type="dxa"/>
            <w:tcBorders>
              <w:top w:val="single" w:sz="4" w:space="0" w:color="auto"/>
              <w:left w:val="single" w:sz="4" w:space="0" w:color="auto"/>
              <w:bottom w:val="single" w:sz="4" w:space="0" w:color="auto"/>
              <w:right w:val="single" w:sz="4" w:space="0" w:color="auto"/>
            </w:tcBorders>
            <w:hideMark/>
          </w:tcPr>
          <w:p w:rsidR="00AC6C0F" w:rsidRPr="00AF64A2" w:rsidRDefault="00AC6C0F" w:rsidP="002733B1">
            <w:pPr>
              <w:pStyle w:val="TAL"/>
            </w:pPr>
            <w:r w:rsidRPr="00AF64A2">
              <w:t xml:space="preserve">Aggregated system </w:t>
            </w:r>
            <w:r w:rsidRPr="00AF64A2">
              <w:br/>
              <w:t>bandwidth (access + backhaul)</w:t>
            </w:r>
          </w:p>
        </w:tc>
        <w:tc>
          <w:tcPr>
            <w:tcW w:w="7740" w:type="dxa"/>
            <w:tcBorders>
              <w:top w:val="single" w:sz="4" w:space="0" w:color="auto"/>
              <w:left w:val="single" w:sz="4" w:space="0" w:color="auto"/>
              <w:bottom w:val="single" w:sz="4" w:space="0" w:color="auto"/>
              <w:right w:val="single" w:sz="4" w:space="0" w:color="auto"/>
            </w:tcBorders>
            <w:hideMark/>
          </w:tcPr>
          <w:p w:rsidR="00AC6C0F" w:rsidRPr="00AF64A2" w:rsidRDefault="00AC6C0F" w:rsidP="002733B1">
            <w:pPr>
              <w:pStyle w:val="TAL"/>
            </w:pPr>
            <w:r w:rsidRPr="00AF64A2">
              <w:t>Up to 400MHz (DL+UL)</w:t>
            </w:r>
          </w:p>
        </w:tc>
      </w:tr>
      <w:tr w:rsidR="00AC6C0F" w:rsidTr="002733B1">
        <w:trPr>
          <w:trHeight w:val="269"/>
        </w:trPr>
        <w:tc>
          <w:tcPr>
            <w:tcW w:w="2178" w:type="dxa"/>
            <w:tcBorders>
              <w:top w:val="single" w:sz="4" w:space="0" w:color="auto"/>
              <w:left w:val="single" w:sz="4" w:space="0" w:color="auto"/>
              <w:bottom w:val="single" w:sz="4" w:space="0" w:color="auto"/>
              <w:right w:val="single" w:sz="4" w:space="0" w:color="auto"/>
            </w:tcBorders>
            <w:hideMark/>
          </w:tcPr>
          <w:p w:rsidR="00AC6C0F" w:rsidRPr="00AF64A2" w:rsidRDefault="00AC6C0F" w:rsidP="002733B1">
            <w:pPr>
              <w:pStyle w:val="TAL"/>
            </w:pPr>
            <w:r w:rsidRPr="00AF64A2">
              <w:t>Simulation bandwidth</w:t>
            </w:r>
          </w:p>
        </w:tc>
        <w:tc>
          <w:tcPr>
            <w:tcW w:w="7740" w:type="dxa"/>
            <w:tcBorders>
              <w:top w:val="single" w:sz="4" w:space="0" w:color="auto"/>
              <w:left w:val="single" w:sz="4" w:space="0" w:color="auto"/>
              <w:bottom w:val="single" w:sz="4" w:space="0" w:color="auto"/>
              <w:right w:val="single" w:sz="4" w:space="0" w:color="auto"/>
            </w:tcBorders>
            <w:hideMark/>
          </w:tcPr>
          <w:p w:rsidR="00AC6C0F" w:rsidRPr="00AF64A2" w:rsidRDefault="00AC6C0F" w:rsidP="002733B1">
            <w:pPr>
              <w:pStyle w:val="TAL"/>
            </w:pPr>
            <w:r w:rsidRPr="00AF64A2">
              <w:t xml:space="preserve">Per CC BW is </w:t>
            </w:r>
            <w:r>
              <w:t>100MHz</w:t>
            </w:r>
            <w:r w:rsidRPr="00AF64A2">
              <w:t xml:space="preserve"> </w:t>
            </w:r>
          </w:p>
        </w:tc>
      </w:tr>
      <w:tr w:rsidR="00AC6C0F" w:rsidTr="002733B1">
        <w:trPr>
          <w:trHeight w:val="1524"/>
        </w:trPr>
        <w:tc>
          <w:tcPr>
            <w:tcW w:w="2178" w:type="dxa"/>
            <w:tcBorders>
              <w:top w:val="single" w:sz="4" w:space="0" w:color="auto"/>
              <w:left w:val="single" w:sz="4" w:space="0" w:color="auto"/>
              <w:bottom w:val="single" w:sz="4" w:space="0" w:color="auto"/>
              <w:right w:val="single" w:sz="4" w:space="0" w:color="auto"/>
            </w:tcBorders>
            <w:hideMark/>
          </w:tcPr>
          <w:p w:rsidR="00AC6C0F" w:rsidRPr="00AF64A2" w:rsidRDefault="00AC6C0F" w:rsidP="002733B1">
            <w:pPr>
              <w:pStyle w:val="TAL"/>
            </w:pPr>
            <w:r w:rsidRPr="00AF64A2">
              <w:t>Large-scale channel parameters</w:t>
            </w:r>
          </w:p>
        </w:tc>
        <w:tc>
          <w:tcPr>
            <w:tcW w:w="7740" w:type="dxa"/>
            <w:tcBorders>
              <w:top w:val="single" w:sz="4" w:space="0" w:color="auto"/>
              <w:left w:val="single" w:sz="4" w:space="0" w:color="auto"/>
              <w:bottom w:val="single" w:sz="4" w:space="0" w:color="auto"/>
              <w:right w:val="single" w:sz="4" w:space="0" w:color="auto"/>
            </w:tcBorders>
          </w:tcPr>
          <w:p w:rsidR="00AC6C0F" w:rsidRPr="00AF64A2" w:rsidRDefault="00AC6C0F" w:rsidP="002733B1">
            <w:pPr>
              <w:pStyle w:val="TAL"/>
            </w:pPr>
            <w:r w:rsidRPr="00AF64A2">
              <w:t xml:space="preserve">- Micro-to-UE: </w:t>
            </w:r>
            <w:proofErr w:type="spellStart"/>
            <w:r w:rsidRPr="00AF64A2">
              <w:t>UMi</w:t>
            </w:r>
            <w:proofErr w:type="spellEnd"/>
            <w:r w:rsidRPr="00AF64A2">
              <w:t>-Street canyon</w:t>
            </w:r>
          </w:p>
          <w:p w:rsidR="00AC6C0F" w:rsidRPr="00AF64A2" w:rsidRDefault="00AC6C0F" w:rsidP="002733B1">
            <w:pPr>
              <w:pStyle w:val="TAL"/>
            </w:pPr>
            <w:r w:rsidRPr="00AF64A2">
              <w:t xml:space="preserve">- Micro-to-Micro: </w:t>
            </w:r>
            <w:proofErr w:type="spellStart"/>
            <w:r w:rsidRPr="00AF64A2">
              <w:t>UMi</w:t>
            </w:r>
            <w:proofErr w:type="spellEnd"/>
            <w:r w:rsidRPr="00AF64A2">
              <w:t>-Street canyon (</w:t>
            </w:r>
            <w:proofErr w:type="spellStart"/>
            <w:r w:rsidRPr="00AF64A2">
              <w:t>h</w:t>
            </w:r>
            <w:r w:rsidRPr="00AF64A2">
              <w:rPr>
                <w:vertAlign w:val="subscript"/>
              </w:rPr>
              <w:t>UE</w:t>
            </w:r>
            <w:proofErr w:type="spellEnd"/>
            <w:r w:rsidRPr="00AF64A2">
              <w:t xml:space="preserve"> =10m) </w:t>
            </w:r>
          </w:p>
          <w:p w:rsidR="00AC6C0F" w:rsidRPr="00AF64A2" w:rsidRDefault="00AC6C0F" w:rsidP="002733B1">
            <w:pPr>
              <w:pStyle w:val="TAL"/>
            </w:pPr>
            <w:r w:rsidRPr="00AF64A2">
              <w:t xml:space="preserve">- UE-to-UE: </w:t>
            </w:r>
            <w:proofErr w:type="spellStart"/>
            <w:r w:rsidRPr="00AF64A2">
              <w:t>UMi</w:t>
            </w:r>
            <w:proofErr w:type="spellEnd"/>
            <w:r w:rsidRPr="00AF64A2">
              <w:t>-Street canyon (</w:t>
            </w:r>
            <w:proofErr w:type="spellStart"/>
            <w:r w:rsidRPr="00AF64A2">
              <w:t>h</w:t>
            </w:r>
            <w:r w:rsidRPr="00AF64A2">
              <w:rPr>
                <w:vertAlign w:val="subscript"/>
              </w:rPr>
              <w:t>BS</w:t>
            </w:r>
            <w:proofErr w:type="spellEnd"/>
            <w:r w:rsidRPr="00AF64A2">
              <w:t xml:space="preserve"> =1.5m ~ 22.5m), penetration loss between UEs</w:t>
            </w:r>
            <w:r w:rsidRPr="00AF64A2">
              <w:rPr>
                <w:lang w:eastAsia="zh-CN"/>
              </w:rPr>
              <w:t xml:space="preserve"> follows Table A.2.1-1</w:t>
            </w:r>
            <w:r w:rsidRPr="00AF64A2">
              <w:t>2 of TR38.802</w:t>
            </w:r>
          </w:p>
          <w:p w:rsidR="00AC6C0F" w:rsidRPr="00AF64A2" w:rsidRDefault="00AC6C0F" w:rsidP="002733B1">
            <w:pPr>
              <w:pStyle w:val="TAL"/>
            </w:pPr>
          </w:p>
          <w:p w:rsidR="00AC6C0F" w:rsidRPr="00AF64A2" w:rsidRDefault="00AC6C0F" w:rsidP="002733B1">
            <w:pPr>
              <w:pStyle w:val="TAL"/>
            </w:pPr>
            <w:r w:rsidRPr="00AF64A2">
              <w:t>The path loss for links between the IAB-node and candidate serving IAB-nodes/donors is determined based on N =3 independent large-scale channel realizations (</w:t>
            </w:r>
            <w:proofErr w:type="gramStart"/>
            <w:r w:rsidRPr="00AF64A2">
              <w:t>taking into account</w:t>
            </w:r>
            <w:proofErr w:type="gramEnd"/>
            <w:r w:rsidRPr="00AF64A2">
              <w:t xml:space="preserve"> LOS/NLOS probability and shadow fading). </w:t>
            </w:r>
            <w:r w:rsidRPr="00076E18">
              <w:rPr>
                <w:lang w:val="en-US"/>
              </w:rPr>
              <w:t>T</w:t>
            </w:r>
            <w:r w:rsidRPr="00AF64A2">
              <w:t>he realization that results in the minimum pathloss between the IAB-node and the associated serving IAB-node/donor is selected.</w:t>
            </w:r>
          </w:p>
          <w:p w:rsidR="00AC6C0F" w:rsidRPr="00AF64A2" w:rsidRDefault="00AC6C0F" w:rsidP="002733B1">
            <w:pPr>
              <w:pStyle w:val="TAL"/>
            </w:pPr>
          </w:p>
        </w:tc>
      </w:tr>
      <w:tr w:rsidR="00AC6C0F" w:rsidTr="002733B1">
        <w:trPr>
          <w:trHeight w:val="548"/>
        </w:trPr>
        <w:tc>
          <w:tcPr>
            <w:tcW w:w="2178" w:type="dxa"/>
            <w:tcBorders>
              <w:top w:val="single" w:sz="4" w:space="0" w:color="auto"/>
              <w:left w:val="single" w:sz="4" w:space="0" w:color="auto"/>
              <w:bottom w:val="single" w:sz="4" w:space="0" w:color="auto"/>
              <w:right w:val="single" w:sz="4" w:space="0" w:color="auto"/>
            </w:tcBorders>
            <w:hideMark/>
          </w:tcPr>
          <w:p w:rsidR="00AC6C0F" w:rsidRPr="00AF64A2" w:rsidRDefault="00AC6C0F" w:rsidP="002733B1">
            <w:pPr>
              <w:pStyle w:val="TAL"/>
            </w:pPr>
            <w:r w:rsidRPr="00AF64A2">
              <w:t>Fast fading parameters</w:t>
            </w:r>
          </w:p>
        </w:tc>
        <w:tc>
          <w:tcPr>
            <w:tcW w:w="7740" w:type="dxa"/>
            <w:tcBorders>
              <w:top w:val="single" w:sz="4" w:space="0" w:color="auto"/>
              <w:left w:val="single" w:sz="4" w:space="0" w:color="auto"/>
              <w:bottom w:val="single" w:sz="4" w:space="0" w:color="auto"/>
              <w:right w:val="single" w:sz="4" w:space="0" w:color="auto"/>
            </w:tcBorders>
          </w:tcPr>
          <w:p w:rsidR="00AC6C0F" w:rsidRPr="00AF64A2" w:rsidRDefault="00AC6C0F" w:rsidP="002733B1">
            <w:pPr>
              <w:pStyle w:val="TAL"/>
            </w:pPr>
            <w:r w:rsidRPr="00AF64A2">
              <w:t xml:space="preserve">- Micro to Micro: </w:t>
            </w:r>
            <w:proofErr w:type="spellStart"/>
            <w:r w:rsidRPr="00AF64A2">
              <w:t>UMi</w:t>
            </w:r>
            <w:proofErr w:type="spellEnd"/>
            <w:r w:rsidRPr="00AF64A2">
              <w:t>-Street canyon O-to-O (</w:t>
            </w:r>
            <w:proofErr w:type="spellStart"/>
            <w:r w:rsidRPr="00AF64A2">
              <w:t>h</w:t>
            </w:r>
            <w:r w:rsidRPr="00AF64A2">
              <w:rPr>
                <w:vertAlign w:val="subscript"/>
              </w:rPr>
              <w:t>UE</w:t>
            </w:r>
            <w:proofErr w:type="spellEnd"/>
            <w:r w:rsidRPr="00AF64A2">
              <w:t xml:space="preserve"> =10m); ASA and ZSA statistics updated to be the same as ASD and ZSD; </w:t>
            </w:r>
            <w:proofErr w:type="spellStart"/>
            <w:r w:rsidRPr="00AF64A2">
              <w:t>ZoD</w:t>
            </w:r>
            <w:proofErr w:type="spellEnd"/>
            <w:r w:rsidRPr="00AF64A2">
              <w:t xml:space="preserve"> offset = 0</w:t>
            </w:r>
          </w:p>
          <w:p w:rsidR="00AC6C0F" w:rsidRPr="00AF64A2" w:rsidRDefault="00AC6C0F" w:rsidP="002733B1">
            <w:pPr>
              <w:pStyle w:val="TAL"/>
            </w:pPr>
          </w:p>
        </w:tc>
      </w:tr>
      <w:tr w:rsidR="00AC6C0F" w:rsidTr="002733B1">
        <w:trPr>
          <w:trHeight w:val="611"/>
        </w:trPr>
        <w:tc>
          <w:tcPr>
            <w:tcW w:w="2178" w:type="dxa"/>
            <w:tcBorders>
              <w:top w:val="single" w:sz="4" w:space="0" w:color="auto"/>
              <w:left w:val="single" w:sz="4" w:space="0" w:color="auto"/>
              <w:bottom w:val="single" w:sz="4" w:space="0" w:color="auto"/>
              <w:right w:val="single" w:sz="4" w:space="0" w:color="auto"/>
            </w:tcBorders>
            <w:hideMark/>
          </w:tcPr>
          <w:p w:rsidR="00AC6C0F" w:rsidRPr="00AF64A2" w:rsidRDefault="00AC6C0F" w:rsidP="002733B1">
            <w:pPr>
              <w:pStyle w:val="TAL"/>
            </w:pPr>
            <w:r w:rsidRPr="00AF64A2">
              <w:t xml:space="preserve">BS Tx power </w:t>
            </w:r>
          </w:p>
        </w:tc>
        <w:tc>
          <w:tcPr>
            <w:tcW w:w="7740" w:type="dxa"/>
            <w:tcBorders>
              <w:top w:val="single" w:sz="4" w:space="0" w:color="auto"/>
              <w:left w:val="single" w:sz="4" w:space="0" w:color="auto"/>
              <w:bottom w:val="single" w:sz="4" w:space="0" w:color="auto"/>
              <w:right w:val="single" w:sz="4" w:space="0" w:color="auto"/>
            </w:tcBorders>
            <w:hideMark/>
          </w:tcPr>
          <w:p w:rsidR="00AC6C0F" w:rsidRPr="00AF64A2" w:rsidRDefault="00AC6C0F" w:rsidP="002733B1">
            <w:pPr>
              <w:pStyle w:val="TAL"/>
            </w:pPr>
            <w:r w:rsidRPr="00AF64A2">
              <w:t>33dBm</w:t>
            </w:r>
          </w:p>
          <w:p w:rsidR="00AC6C0F" w:rsidRPr="00AF64A2" w:rsidRDefault="00AC6C0F" w:rsidP="002733B1">
            <w:pPr>
              <w:pStyle w:val="TAL"/>
            </w:pPr>
            <w:r w:rsidRPr="00AF64A2">
              <w:t>EIRP should not exceed 68 dBm (*)</w:t>
            </w:r>
          </w:p>
        </w:tc>
      </w:tr>
      <w:tr w:rsidR="00AC6C0F" w:rsidTr="002733B1">
        <w:trPr>
          <w:trHeight w:val="588"/>
        </w:trPr>
        <w:tc>
          <w:tcPr>
            <w:tcW w:w="2178" w:type="dxa"/>
            <w:tcBorders>
              <w:top w:val="single" w:sz="4" w:space="0" w:color="auto"/>
              <w:left w:val="single" w:sz="4" w:space="0" w:color="auto"/>
              <w:bottom w:val="single" w:sz="4" w:space="0" w:color="auto"/>
              <w:right w:val="single" w:sz="4" w:space="0" w:color="auto"/>
            </w:tcBorders>
            <w:hideMark/>
          </w:tcPr>
          <w:p w:rsidR="00AC6C0F" w:rsidRPr="00AF64A2" w:rsidRDefault="00AC6C0F" w:rsidP="002733B1">
            <w:pPr>
              <w:pStyle w:val="TAL"/>
            </w:pPr>
            <w:r w:rsidRPr="00AF64A2">
              <w:t>BS antenna configurations</w:t>
            </w:r>
          </w:p>
        </w:tc>
        <w:tc>
          <w:tcPr>
            <w:tcW w:w="7740" w:type="dxa"/>
            <w:tcBorders>
              <w:top w:val="single" w:sz="4" w:space="0" w:color="auto"/>
              <w:left w:val="single" w:sz="4" w:space="0" w:color="auto"/>
              <w:bottom w:val="single" w:sz="4" w:space="0" w:color="auto"/>
              <w:right w:val="single" w:sz="4" w:space="0" w:color="auto"/>
            </w:tcBorders>
            <w:hideMark/>
          </w:tcPr>
          <w:p w:rsidR="00AC6C0F" w:rsidRPr="00AF64A2" w:rsidRDefault="00AC6C0F" w:rsidP="002733B1">
            <w:pPr>
              <w:pStyle w:val="TAL"/>
            </w:pPr>
            <w:r w:rsidRPr="00AF64A2">
              <w:t>See Table A.2.1-4 of TR38.802.</w:t>
            </w:r>
          </w:p>
          <w:p w:rsidR="00AC6C0F" w:rsidRPr="00AF64A2" w:rsidRDefault="00AC6C0F" w:rsidP="002733B1">
            <w:pPr>
              <w:pStyle w:val="TAL"/>
            </w:pPr>
          </w:p>
          <w:p w:rsidR="00AC6C0F" w:rsidRPr="00AF64A2" w:rsidRDefault="00AC6C0F" w:rsidP="002733B1">
            <w:pPr>
              <w:pStyle w:val="TAL"/>
              <w:rPr>
                <w:u w:val="single"/>
              </w:rPr>
            </w:pPr>
            <w:r w:rsidRPr="00AF64A2">
              <w:rPr>
                <w:u w:val="single"/>
              </w:rPr>
              <w:t xml:space="preserve">At least </w:t>
            </w:r>
            <w:proofErr w:type="gramStart"/>
            <w:r w:rsidRPr="00AF64A2">
              <w:rPr>
                <w:u w:val="single"/>
              </w:rPr>
              <w:t>for the purpose of</w:t>
            </w:r>
            <w:proofErr w:type="gramEnd"/>
            <w:r w:rsidRPr="00AF64A2">
              <w:rPr>
                <w:u w:val="single"/>
              </w:rPr>
              <w:t xml:space="preserve"> IAB evaluations, when the IAB-node has multiple panels, access and backhaul traffic can be sent on any panel, subject to the per IAB-node half duplex constraint.</w:t>
            </w:r>
          </w:p>
        </w:tc>
      </w:tr>
      <w:tr w:rsidR="00AC6C0F" w:rsidTr="002733B1">
        <w:trPr>
          <w:trHeight w:val="296"/>
        </w:trPr>
        <w:tc>
          <w:tcPr>
            <w:tcW w:w="2178" w:type="dxa"/>
            <w:tcBorders>
              <w:top w:val="single" w:sz="4" w:space="0" w:color="auto"/>
              <w:left w:val="single" w:sz="4" w:space="0" w:color="auto"/>
              <w:bottom w:val="single" w:sz="4" w:space="0" w:color="auto"/>
              <w:right w:val="single" w:sz="4" w:space="0" w:color="auto"/>
            </w:tcBorders>
            <w:hideMark/>
          </w:tcPr>
          <w:p w:rsidR="00AC6C0F" w:rsidRPr="00AF64A2" w:rsidRDefault="00AC6C0F" w:rsidP="002733B1">
            <w:pPr>
              <w:pStyle w:val="TAL"/>
            </w:pPr>
            <w:r w:rsidRPr="00AF64A2">
              <w:t xml:space="preserve">BS antenna height </w:t>
            </w:r>
          </w:p>
        </w:tc>
        <w:tc>
          <w:tcPr>
            <w:tcW w:w="7740" w:type="dxa"/>
            <w:tcBorders>
              <w:top w:val="single" w:sz="4" w:space="0" w:color="auto"/>
              <w:left w:val="single" w:sz="4" w:space="0" w:color="auto"/>
              <w:bottom w:val="single" w:sz="4" w:space="0" w:color="auto"/>
              <w:right w:val="single" w:sz="4" w:space="0" w:color="auto"/>
            </w:tcBorders>
            <w:hideMark/>
          </w:tcPr>
          <w:p w:rsidR="00AC6C0F" w:rsidRPr="00AF64A2" w:rsidRDefault="00AC6C0F" w:rsidP="002733B1">
            <w:pPr>
              <w:pStyle w:val="TAL"/>
            </w:pPr>
            <w:r w:rsidRPr="00AF64A2">
              <w:t>10 m</w:t>
            </w:r>
          </w:p>
        </w:tc>
      </w:tr>
      <w:tr w:rsidR="00AC6C0F" w:rsidTr="002733B1">
        <w:trPr>
          <w:trHeight w:val="530"/>
        </w:trPr>
        <w:tc>
          <w:tcPr>
            <w:tcW w:w="2178" w:type="dxa"/>
            <w:tcBorders>
              <w:top w:val="single" w:sz="4" w:space="0" w:color="auto"/>
              <w:left w:val="single" w:sz="4" w:space="0" w:color="auto"/>
              <w:bottom w:val="single" w:sz="4" w:space="0" w:color="auto"/>
              <w:right w:val="single" w:sz="4" w:space="0" w:color="auto"/>
            </w:tcBorders>
            <w:hideMark/>
          </w:tcPr>
          <w:p w:rsidR="00AC6C0F" w:rsidRPr="00AF64A2" w:rsidRDefault="00AC6C0F" w:rsidP="002733B1">
            <w:pPr>
              <w:pStyle w:val="TAL"/>
            </w:pPr>
            <w:r w:rsidRPr="00AF64A2">
              <w:t>BS antenna element gain + connector loss</w:t>
            </w:r>
          </w:p>
        </w:tc>
        <w:tc>
          <w:tcPr>
            <w:tcW w:w="7740" w:type="dxa"/>
            <w:tcBorders>
              <w:top w:val="single" w:sz="4" w:space="0" w:color="auto"/>
              <w:left w:val="single" w:sz="4" w:space="0" w:color="auto"/>
              <w:bottom w:val="single" w:sz="4" w:space="0" w:color="auto"/>
              <w:right w:val="single" w:sz="4" w:space="0" w:color="auto"/>
            </w:tcBorders>
            <w:hideMark/>
          </w:tcPr>
          <w:p w:rsidR="00AC6C0F" w:rsidRPr="00AF64A2" w:rsidRDefault="00AC6C0F" w:rsidP="002733B1">
            <w:pPr>
              <w:pStyle w:val="TAL"/>
            </w:pPr>
            <w:r w:rsidRPr="00AF64A2">
              <w:t>See Table A.2.1-4 of TR38.802</w:t>
            </w:r>
          </w:p>
        </w:tc>
      </w:tr>
      <w:tr w:rsidR="00AC6C0F" w:rsidTr="002733B1">
        <w:trPr>
          <w:trHeight w:val="350"/>
        </w:trPr>
        <w:tc>
          <w:tcPr>
            <w:tcW w:w="2178" w:type="dxa"/>
            <w:tcBorders>
              <w:top w:val="single" w:sz="4" w:space="0" w:color="auto"/>
              <w:left w:val="single" w:sz="4" w:space="0" w:color="auto"/>
              <w:bottom w:val="single" w:sz="4" w:space="0" w:color="auto"/>
              <w:right w:val="single" w:sz="4" w:space="0" w:color="auto"/>
            </w:tcBorders>
            <w:hideMark/>
          </w:tcPr>
          <w:p w:rsidR="00AC6C0F" w:rsidRPr="00AF64A2" w:rsidRDefault="00AC6C0F" w:rsidP="002733B1">
            <w:pPr>
              <w:pStyle w:val="TAL"/>
            </w:pPr>
            <w:r w:rsidRPr="00AF64A2">
              <w:t>BS receiver noise figure</w:t>
            </w:r>
          </w:p>
        </w:tc>
        <w:tc>
          <w:tcPr>
            <w:tcW w:w="7740" w:type="dxa"/>
            <w:tcBorders>
              <w:top w:val="single" w:sz="4" w:space="0" w:color="auto"/>
              <w:left w:val="single" w:sz="4" w:space="0" w:color="auto"/>
              <w:bottom w:val="single" w:sz="4" w:space="0" w:color="auto"/>
              <w:right w:val="single" w:sz="4" w:space="0" w:color="auto"/>
            </w:tcBorders>
            <w:hideMark/>
          </w:tcPr>
          <w:p w:rsidR="00AC6C0F" w:rsidRPr="00AF64A2" w:rsidRDefault="00AC6C0F" w:rsidP="002733B1">
            <w:pPr>
              <w:pStyle w:val="TAL"/>
            </w:pPr>
            <w:r w:rsidRPr="00AF64A2">
              <w:t>7dB</w:t>
            </w:r>
          </w:p>
        </w:tc>
      </w:tr>
    </w:tbl>
    <w:p w:rsidR="00AC6C0F" w:rsidRDefault="00AC6C0F" w:rsidP="00AC6C0F">
      <w:pPr>
        <w:pStyle w:val="maintext"/>
        <w:ind w:firstLineChars="0" w:firstLine="0"/>
        <w:rPr>
          <w:rFonts w:ascii="Calibri" w:hAnsi="Calibri"/>
          <w:b/>
        </w:rPr>
      </w:pPr>
      <w:r>
        <w:rPr>
          <w:rFonts w:ascii="Calibri" w:hAnsi="Calibri"/>
          <w:b/>
        </w:rPr>
        <w:t xml:space="preserve">Proposal 2: </w:t>
      </w:r>
      <w:r>
        <w:rPr>
          <w:rFonts w:ascii="Calibri" w:hAnsi="Calibri"/>
        </w:rPr>
        <w:t xml:space="preserve"> </w:t>
      </w:r>
      <w:r w:rsidRPr="007D3A4A">
        <w:rPr>
          <w:rFonts w:ascii="Calibri" w:hAnsi="Calibri"/>
          <w:b/>
        </w:rPr>
        <w:t>For the purpose of co-existence evaluations, the IAB donor nodes can be assume</w:t>
      </w:r>
      <w:r>
        <w:rPr>
          <w:rFonts w:ascii="Calibri" w:hAnsi="Calibri"/>
          <w:b/>
        </w:rPr>
        <w:t>d</w:t>
      </w:r>
      <w:r w:rsidRPr="007D3A4A">
        <w:rPr>
          <w:rFonts w:ascii="Calibri" w:hAnsi="Calibri"/>
          <w:b/>
        </w:rPr>
        <w:t xml:space="preserve"> to be always active</w:t>
      </w:r>
      <w:r>
        <w:rPr>
          <w:rFonts w:ascii="Calibri" w:hAnsi="Calibri"/>
          <w:b/>
        </w:rPr>
        <w:t xml:space="preserve"> and the probability that given IAB node is active should be a function of hop order and subject to the half-duplex constraint.</w:t>
      </w:r>
    </w:p>
    <w:p w:rsidR="00AC6C0F" w:rsidRPr="00F65CC7" w:rsidRDefault="00AC6C0F" w:rsidP="00AC6C0F">
      <w:pPr>
        <w:pStyle w:val="maintext"/>
        <w:ind w:firstLineChars="0" w:firstLine="0"/>
        <w:rPr>
          <w:rFonts w:cs="Arial"/>
          <w:lang w:eastAsia="ja-JP"/>
        </w:rPr>
      </w:pPr>
      <w:r>
        <w:rPr>
          <w:rFonts w:ascii="Calibri" w:hAnsi="Calibri"/>
          <w:b/>
        </w:rPr>
        <w:t>FFS: The activity distribution, pending evaluations based on the TBD simulation assumptions.</w:t>
      </w:r>
      <w:r w:rsidRPr="00F65CC7">
        <w:rPr>
          <w:rFonts w:cs="Arial"/>
          <w:lang w:eastAsia="ja-JP"/>
        </w:rPr>
        <w:t xml:space="preserve"> </w:t>
      </w:r>
    </w:p>
    <w:p w:rsidR="00CB4FDD" w:rsidRDefault="00CB4FDD" w:rsidP="00CB4FDD">
      <w:pPr>
        <w:spacing w:before="0" w:after="0"/>
        <w:rPr>
          <w:rFonts w:ascii="Calibri" w:hAnsi="Calibri"/>
        </w:rPr>
      </w:pPr>
    </w:p>
    <w:p w:rsidR="00CB4FDD" w:rsidRPr="0076067D" w:rsidRDefault="00CB4FDD" w:rsidP="00CB4FDD">
      <w:pPr>
        <w:pStyle w:val="Heading1"/>
      </w:pPr>
      <w:r>
        <w:lastRenderedPageBreak/>
        <w:t>Reference</w:t>
      </w:r>
    </w:p>
    <w:p w:rsidR="00CB4FDD" w:rsidRDefault="00CB4FDD" w:rsidP="00CB4FDD">
      <w:pPr>
        <w:pStyle w:val="2222"/>
        <w:spacing w:after="120" w:line="288" w:lineRule="auto"/>
        <w:ind w:firstLineChars="0" w:firstLine="0"/>
        <w:jc w:val="left"/>
        <w:rPr>
          <w:rFonts w:cs="Times New Roman"/>
          <w:lang w:eastAsia="ko-KR"/>
        </w:rPr>
      </w:pPr>
      <w:r>
        <w:rPr>
          <w:rFonts w:cs="Times New Roman"/>
          <w:lang w:eastAsia="ko-KR"/>
        </w:rPr>
        <w:t xml:space="preserve">[1] RP-182882, </w:t>
      </w:r>
      <w:r w:rsidRPr="004131D6">
        <w:rPr>
          <w:rFonts w:cs="Times New Roman"/>
          <w:lang w:eastAsia="ko-KR"/>
        </w:rPr>
        <w:t>New WID: Integrated Access and Backhaul for NR</w:t>
      </w:r>
      <w:r>
        <w:rPr>
          <w:rFonts w:cs="Times New Roman"/>
          <w:lang w:eastAsia="ko-KR"/>
        </w:rPr>
        <w:t>, Qualcomm</w:t>
      </w:r>
    </w:p>
    <w:sectPr w:rsidR="00CB4FDD"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37A9" w:rsidRDefault="00B237A9" w:rsidP="00424124">
      <w:pPr>
        <w:spacing w:before="0" w:after="0"/>
      </w:pPr>
      <w:r>
        <w:separator/>
      </w:r>
    </w:p>
  </w:endnote>
  <w:endnote w:type="continuationSeparator" w:id="0">
    <w:p w:rsidR="00B237A9" w:rsidRDefault="00B237A9"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37A9" w:rsidRDefault="00B237A9" w:rsidP="00424124">
      <w:pPr>
        <w:spacing w:before="0" w:after="0"/>
      </w:pPr>
      <w:r>
        <w:separator/>
      </w:r>
    </w:p>
  </w:footnote>
  <w:footnote w:type="continuationSeparator" w:id="0">
    <w:p w:rsidR="00B237A9" w:rsidRDefault="00B237A9"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01996"/>
    <w:multiLevelType w:val="hybridMultilevel"/>
    <w:tmpl w:val="9B22EC4A"/>
    <w:lvl w:ilvl="0" w:tplc="644C50AC">
      <w:start w:val="1"/>
      <w:numFmt w:val="decimal"/>
      <w:lvlText w:val="%1."/>
      <w:lvlJc w:val="left"/>
      <w:pPr>
        <w:tabs>
          <w:tab w:val="num" w:pos="0"/>
        </w:tabs>
        <w:ind w:left="0" w:hanging="360"/>
      </w:pPr>
    </w:lvl>
    <w:lvl w:ilvl="1" w:tplc="25C8BBA2">
      <w:start w:val="62"/>
      <w:numFmt w:val="bullet"/>
      <w:lvlText w:val="–"/>
      <w:lvlJc w:val="left"/>
      <w:pPr>
        <w:tabs>
          <w:tab w:val="num" w:pos="720"/>
        </w:tabs>
        <w:ind w:left="720" w:hanging="360"/>
      </w:pPr>
      <w:rPr>
        <w:rFonts w:ascii="Arial" w:hAnsi="Arial" w:hint="default"/>
      </w:rPr>
    </w:lvl>
    <w:lvl w:ilvl="2" w:tplc="A77836A8" w:tentative="1">
      <w:start w:val="1"/>
      <w:numFmt w:val="decimal"/>
      <w:lvlText w:val="%3."/>
      <w:lvlJc w:val="left"/>
      <w:pPr>
        <w:tabs>
          <w:tab w:val="num" w:pos="1440"/>
        </w:tabs>
        <w:ind w:left="1440" w:hanging="360"/>
      </w:pPr>
    </w:lvl>
    <w:lvl w:ilvl="3" w:tplc="40F2D430" w:tentative="1">
      <w:start w:val="1"/>
      <w:numFmt w:val="decimal"/>
      <w:lvlText w:val="%4."/>
      <w:lvlJc w:val="left"/>
      <w:pPr>
        <w:tabs>
          <w:tab w:val="num" w:pos="2160"/>
        </w:tabs>
        <w:ind w:left="2160" w:hanging="360"/>
      </w:pPr>
    </w:lvl>
    <w:lvl w:ilvl="4" w:tplc="EF6EE9AC" w:tentative="1">
      <w:start w:val="1"/>
      <w:numFmt w:val="decimal"/>
      <w:lvlText w:val="%5."/>
      <w:lvlJc w:val="left"/>
      <w:pPr>
        <w:tabs>
          <w:tab w:val="num" w:pos="2880"/>
        </w:tabs>
        <w:ind w:left="2880" w:hanging="360"/>
      </w:pPr>
    </w:lvl>
    <w:lvl w:ilvl="5" w:tplc="127C64EE" w:tentative="1">
      <w:start w:val="1"/>
      <w:numFmt w:val="decimal"/>
      <w:lvlText w:val="%6."/>
      <w:lvlJc w:val="left"/>
      <w:pPr>
        <w:tabs>
          <w:tab w:val="num" w:pos="3600"/>
        </w:tabs>
        <w:ind w:left="3600" w:hanging="360"/>
      </w:pPr>
    </w:lvl>
    <w:lvl w:ilvl="6" w:tplc="7996F61A" w:tentative="1">
      <w:start w:val="1"/>
      <w:numFmt w:val="decimal"/>
      <w:lvlText w:val="%7."/>
      <w:lvlJc w:val="left"/>
      <w:pPr>
        <w:tabs>
          <w:tab w:val="num" w:pos="4320"/>
        </w:tabs>
        <w:ind w:left="4320" w:hanging="360"/>
      </w:pPr>
    </w:lvl>
    <w:lvl w:ilvl="7" w:tplc="006C87A0" w:tentative="1">
      <w:start w:val="1"/>
      <w:numFmt w:val="decimal"/>
      <w:lvlText w:val="%8."/>
      <w:lvlJc w:val="left"/>
      <w:pPr>
        <w:tabs>
          <w:tab w:val="num" w:pos="5040"/>
        </w:tabs>
        <w:ind w:left="5040" w:hanging="360"/>
      </w:pPr>
    </w:lvl>
    <w:lvl w:ilvl="8" w:tplc="922AEC4C" w:tentative="1">
      <w:start w:val="1"/>
      <w:numFmt w:val="decimal"/>
      <w:lvlText w:val="%9."/>
      <w:lvlJc w:val="left"/>
      <w:pPr>
        <w:tabs>
          <w:tab w:val="num" w:pos="5760"/>
        </w:tabs>
        <w:ind w:left="5760" w:hanging="360"/>
      </w:p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5C6734E"/>
    <w:multiLevelType w:val="hybridMultilevel"/>
    <w:tmpl w:val="A4142678"/>
    <w:lvl w:ilvl="0" w:tplc="337C7966">
      <w:start w:val="1"/>
      <w:numFmt w:val="bullet"/>
      <w:lvlText w:val="•"/>
      <w:lvlJc w:val="left"/>
      <w:pPr>
        <w:tabs>
          <w:tab w:val="num" w:pos="720"/>
        </w:tabs>
        <w:ind w:left="720" w:hanging="360"/>
      </w:pPr>
      <w:rPr>
        <w:rFonts w:ascii="Arial" w:hAnsi="Arial" w:hint="default"/>
      </w:rPr>
    </w:lvl>
    <w:lvl w:ilvl="1" w:tplc="9920DA48">
      <w:start w:val="1339"/>
      <w:numFmt w:val="bullet"/>
      <w:lvlText w:val="–"/>
      <w:lvlJc w:val="left"/>
      <w:pPr>
        <w:tabs>
          <w:tab w:val="num" w:pos="1440"/>
        </w:tabs>
        <w:ind w:left="1440" w:hanging="360"/>
      </w:pPr>
      <w:rPr>
        <w:rFonts w:ascii="Arial" w:hAnsi="Arial" w:hint="default"/>
      </w:rPr>
    </w:lvl>
    <w:lvl w:ilvl="2" w:tplc="BCFA4A4C">
      <w:start w:val="1339"/>
      <w:numFmt w:val="bullet"/>
      <w:lvlText w:val="•"/>
      <w:lvlJc w:val="left"/>
      <w:pPr>
        <w:tabs>
          <w:tab w:val="num" w:pos="2160"/>
        </w:tabs>
        <w:ind w:left="2160" w:hanging="360"/>
      </w:pPr>
      <w:rPr>
        <w:rFonts w:ascii="Arial" w:hAnsi="Arial" w:hint="default"/>
      </w:rPr>
    </w:lvl>
    <w:lvl w:ilvl="3" w:tplc="BF8E3690" w:tentative="1">
      <w:start w:val="1"/>
      <w:numFmt w:val="bullet"/>
      <w:lvlText w:val="•"/>
      <w:lvlJc w:val="left"/>
      <w:pPr>
        <w:tabs>
          <w:tab w:val="num" w:pos="2880"/>
        </w:tabs>
        <w:ind w:left="2880" w:hanging="360"/>
      </w:pPr>
      <w:rPr>
        <w:rFonts w:ascii="Arial" w:hAnsi="Arial" w:hint="default"/>
      </w:rPr>
    </w:lvl>
    <w:lvl w:ilvl="4" w:tplc="A2ECB358" w:tentative="1">
      <w:start w:val="1"/>
      <w:numFmt w:val="bullet"/>
      <w:lvlText w:val="•"/>
      <w:lvlJc w:val="left"/>
      <w:pPr>
        <w:tabs>
          <w:tab w:val="num" w:pos="3600"/>
        </w:tabs>
        <w:ind w:left="3600" w:hanging="360"/>
      </w:pPr>
      <w:rPr>
        <w:rFonts w:ascii="Arial" w:hAnsi="Arial" w:hint="default"/>
      </w:rPr>
    </w:lvl>
    <w:lvl w:ilvl="5" w:tplc="DBF02AA4" w:tentative="1">
      <w:start w:val="1"/>
      <w:numFmt w:val="bullet"/>
      <w:lvlText w:val="•"/>
      <w:lvlJc w:val="left"/>
      <w:pPr>
        <w:tabs>
          <w:tab w:val="num" w:pos="4320"/>
        </w:tabs>
        <w:ind w:left="4320" w:hanging="360"/>
      </w:pPr>
      <w:rPr>
        <w:rFonts w:ascii="Arial" w:hAnsi="Arial" w:hint="default"/>
      </w:rPr>
    </w:lvl>
    <w:lvl w:ilvl="6" w:tplc="3DFEBFBA" w:tentative="1">
      <w:start w:val="1"/>
      <w:numFmt w:val="bullet"/>
      <w:lvlText w:val="•"/>
      <w:lvlJc w:val="left"/>
      <w:pPr>
        <w:tabs>
          <w:tab w:val="num" w:pos="5040"/>
        </w:tabs>
        <w:ind w:left="5040" w:hanging="360"/>
      </w:pPr>
      <w:rPr>
        <w:rFonts w:ascii="Arial" w:hAnsi="Arial" w:hint="default"/>
      </w:rPr>
    </w:lvl>
    <w:lvl w:ilvl="7" w:tplc="D08ACC68" w:tentative="1">
      <w:start w:val="1"/>
      <w:numFmt w:val="bullet"/>
      <w:lvlText w:val="•"/>
      <w:lvlJc w:val="left"/>
      <w:pPr>
        <w:tabs>
          <w:tab w:val="num" w:pos="5760"/>
        </w:tabs>
        <w:ind w:left="5760" w:hanging="360"/>
      </w:pPr>
      <w:rPr>
        <w:rFonts w:ascii="Arial" w:hAnsi="Arial" w:hint="default"/>
      </w:rPr>
    </w:lvl>
    <w:lvl w:ilvl="8" w:tplc="29DC467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1B4F11"/>
    <w:multiLevelType w:val="hybridMultilevel"/>
    <w:tmpl w:val="EBB41D9C"/>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D4C2A8A"/>
    <w:multiLevelType w:val="hybridMultilevel"/>
    <w:tmpl w:val="48A083F4"/>
    <w:lvl w:ilvl="0" w:tplc="74CAF61E">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BC243D"/>
    <w:multiLevelType w:val="hybridMultilevel"/>
    <w:tmpl w:val="FD5EA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3708C7"/>
    <w:multiLevelType w:val="hybridMultilevel"/>
    <w:tmpl w:val="DCE6D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E4F051E"/>
    <w:multiLevelType w:val="hybridMultilevel"/>
    <w:tmpl w:val="FC4C7178"/>
    <w:lvl w:ilvl="0" w:tplc="A9722C04">
      <w:start w:val="1"/>
      <w:numFmt w:val="bullet"/>
      <w:lvlText w:val="–"/>
      <w:lvlJc w:val="left"/>
      <w:pPr>
        <w:tabs>
          <w:tab w:val="num" w:pos="360"/>
        </w:tabs>
        <w:ind w:left="360" w:hanging="360"/>
      </w:pPr>
      <w:rPr>
        <w:rFonts w:ascii="Arial" w:hAnsi="Arial" w:hint="default"/>
      </w:rPr>
    </w:lvl>
    <w:lvl w:ilvl="1" w:tplc="E5384838">
      <w:start w:val="1"/>
      <w:numFmt w:val="bullet"/>
      <w:lvlText w:val="–"/>
      <w:lvlJc w:val="left"/>
      <w:pPr>
        <w:tabs>
          <w:tab w:val="num" w:pos="1080"/>
        </w:tabs>
        <w:ind w:left="1080" w:hanging="360"/>
      </w:pPr>
      <w:rPr>
        <w:rFonts w:ascii="Arial" w:hAnsi="Arial" w:hint="default"/>
      </w:rPr>
    </w:lvl>
    <w:lvl w:ilvl="2" w:tplc="1B8AE236">
      <w:start w:val="2496"/>
      <w:numFmt w:val="bullet"/>
      <w:lvlText w:val="•"/>
      <w:lvlJc w:val="left"/>
      <w:pPr>
        <w:tabs>
          <w:tab w:val="num" w:pos="1800"/>
        </w:tabs>
        <w:ind w:left="1800" w:hanging="360"/>
      </w:pPr>
      <w:rPr>
        <w:rFonts w:ascii="Arial" w:hAnsi="Arial" w:hint="default"/>
      </w:rPr>
    </w:lvl>
    <w:lvl w:ilvl="3" w:tplc="CBDC65DE">
      <w:start w:val="2496"/>
      <w:numFmt w:val="bullet"/>
      <w:lvlText w:val="–"/>
      <w:lvlJc w:val="left"/>
      <w:pPr>
        <w:tabs>
          <w:tab w:val="num" w:pos="2520"/>
        </w:tabs>
        <w:ind w:left="2520" w:hanging="360"/>
      </w:pPr>
      <w:rPr>
        <w:rFonts w:ascii="Arial" w:hAnsi="Arial" w:hint="default"/>
      </w:rPr>
    </w:lvl>
    <w:lvl w:ilvl="4" w:tplc="6BF043C8" w:tentative="1">
      <w:start w:val="1"/>
      <w:numFmt w:val="bullet"/>
      <w:lvlText w:val="–"/>
      <w:lvlJc w:val="left"/>
      <w:pPr>
        <w:tabs>
          <w:tab w:val="num" w:pos="3240"/>
        </w:tabs>
        <w:ind w:left="3240" w:hanging="360"/>
      </w:pPr>
      <w:rPr>
        <w:rFonts w:ascii="Arial" w:hAnsi="Arial" w:hint="default"/>
      </w:rPr>
    </w:lvl>
    <w:lvl w:ilvl="5" w:tplc="A9326B6A" w:tentative="1">
      <w:start w:val="1"/>
      <w:numFmt w:val="bullet"/>
      <w:lvlText w:val="–"/>
      <w:lvlJc w:val="left"/>
      <w:pPr>
        <w:tabs>
          <w:tab w:val="num" w:pos="3960"/>
        </w:tabs>
        <w:ind w:left="3960" w:hanging="360"/>
      </w:pPr>
      <w:rPr>
        <w:rFonts w:ascii="Arial" w:hAnsi="Arial" w:hint="default"/>
      </w:rPr>
    </w:lvl>
    <w:lvl w:ilvl="6" w:tplc="596C1FBC" w:tentative="1">
      <w:start w:val="1"/>
      <w:numFmt w:val="bullet"/>
      <w:lvlText w:val="–"/>
      <w:lvlJc w:val="left"/>
      <w:pPr>
        <w:tabs>
          <w:tab w:val="num" w:pos="4680"/>
        </w:tabs>
        <w:ind w:left="4680" w:hanging="360"/>
      </w:pPr>
      <w:rPr>
        <w:rFonts w:ascii="Arial" w:hAnsi="Arial" w:hint="default"/>
      </w:rPr>
    </w:lvl>
    <w:lvl w:ilvl="7" w:tplc="B83A0B96" w:tentative="1">
      <w:start w:val="1"/>
      <w:numFmt w:val="bullet"/>
      <w:lvlText w:val="–"/>
      <w:lvlJc w:val="left"/>
      <w:pPr>
        <w:tabs>
          <w:tab w:val="num" w:pos="5400"/>
        </w:tabs>
        <w:ind w:left="5400" w:hanging="360"/>
      </w:pPr>
      <w:rPr>
        <w:rFonts w:ascii="Arial" w:hAnsi="Arial" w:hint="default"/>
      </w:rPr>
    </w:lvl>
    <w:lvl w:ilvl="8" w:tplc="CBFC199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8"/>
  </w:num>
  <w:num w:numId="2">
    <w:abstractNumId w:val="4"/>
  </w:num>
  <w:num w:numId="3">
    <w:abstractNumId w:val="11"/>
  </w:num>
  <w:num w:numId="4">
    <w:abstractNumId w:val="1"/>
  </w:num>
  <w:num w:numId="5">
    <w:abstractNumId w:val="3"/>
  </w:num>
  <w:num w:numId="6">
    <w:abstractNumId w:val="10"/>
  </w:num>
  <w:num w:numId="7">
    <w:abstractNumId w:val="5"/>
  </w:num>
  <w:num w:numId="8">
    <w:abstractNumId w:val="9"/>
  </w:num>
  <w:num w:numId="9">
    <w:abstractNumId w:val="2"/>
  </w:num>
  <w:num w:numId="10">
    <w:abstractNumId w:val="0"/>
  </w:num>
  <w:num w:numId="11">
    <w:abstractNumId w:val="7"/>
  </w:num>
  <w:num w:numId="12">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24124"/>
    <w:rsid w:val="00001127"/>
    <w:rsid w:val="00001BBA"/>
    <w:rsid w:val="000052FF"/>
    <w:rsid w:val="0001485D"/>
    <w:rsid w:val="000149EC"/>
    <w:rsid w:val="00020F1A"/>
    <w:rsid w:val="00032C70"/>
    <w:rsid w:val="00032D47"/>
    <w:rsid w:val="000337FD"/>
    <w:rsid w:val="00042858"/>
    <w:rsid w:val="000463E4"/>
    <w:rsid w:val="00051B4B"/>
    <w:rsid w:val="000550BC"/>
    <w:rsid w:val="000643FA"/>
    <w:rsid w:val="000730C9"/>
    <w:rsid w:val="0007523A"/>
    <w:rsid w:val="0007575F"/>
    <w:rsid w:val="00075FD1"/>
    <w:rsid w:val="0008192E"/>
    <w:rsid w:val="00084E8C"/>
    <w:rsid w:val="00085800"/>
    <w:rsid w:val="000865E3"/>
    <w:rsid w:val="000917C5"/>
    <w:rsid w:val="000A36A9"/>
    <w:rsid w:val="000B0720"/>
    <w:rsid w:val="000B58C4"/>
    <w:rsid w:val="000B5AA9"/>
    <w:rsid w:val="000B6D99"/>
    <w:rsid w:val="000C21D0"/>
    <w:rsid w:val="000C57B9"/>
    <w:rsid w:val="000D1C0F"/>
    <w:rsid w:val="000D38DC"/>
    <w:rsid w:val="000E0384"/>
    <w:rsid w:val="000E29D8"/>
    <w:rsid w:val="000E357F"/>
    <w:rsid w:val="0010303E"/>
    <w:rsid w:val="0011327D"/>
    <w:rsid w:val="00116DA6"/>
    <w:rsid w:val="00117F7E"/>
    <w:rsid w:val="001231C8"/>
    <w:rsid w:val="00124646"/>
    <w:rsid w:val="0013088E"/>
    <w:rsid w:val="00131A07"/>
    <w:rsid w:val="00137E15"/>
    <w:rsid w:val="001417A8"/>
    <w:rsid w:val="00144CB3"/>
    <w:rsid w:val="0015319D"/>
    <w:rsid w:val="00153793"/>
    <w:rsid w:val="00171B55"/>
    <w:rsid w:val="00172743"/>
    <w:rsid w:val="001A48EC"/>
    <w:rsid w:val="001A5A68"/>
    <w:rsid w:val="001A6212"/>
    <w:rsid w:val="001A75E0"/>
    <w:rsid w:val="001B731B"/>
    <w:rsid w:val="001C0E9F"/>
    <w:rsid w:val="001C2009"/>
    <w:rsid w:val="001C5E6A"/>
    <w:rsid w:val="001C699C"/>
    <w:rsid w:val="001E0CE1"/>
    <w:rsid w:val="001E58CC"/>
    <w:rsid w:val="001F59ED"/>
    <w:rsid w:val="001F768F"/>
    <w:rsid w:val="00204FF3"/>
    <w:rsid w:val="0021167B"/>
    <w:rsid w:val="00211D37"/>
    <w:rsid w:val="00212204"/>
    <w:rsid w:val="00216763"/>
    <w:rsid w:val="00222269"/>
    <w:rsid w:val="00233D70"/>
    <w:rsid w:val="00235373"/>
    <w:rsid w:val="00241795"/>
    <w:rsid w:val="00242080"/>
    <w:rsid w:val="00246D61"/>
    <w:rsid w:val="0024786A"/>
    <w:rsid w:val="0025058B"/>
    <w:rsid w:val="00262116"/>
    <w:rsid w:val="002641FE"/>
    <w:rsid w:val="00265254"/>
    <w:rsid w:val="00265C25"/>
    <w:rsid w:val="0026717E"/>
    <w:rsid w:val="00267362"/>
    <w:rsid w:val="002725E8"/>
    <w:rsid w:val="00272EC2"/>
    <w:rsid w:val="00273B2A"/>
    <w:rsid w:val="00274677"/>
    <w:rsid w:val="00274CC5"/>
    <w:rsid w:val="00276785"/>
    <w:rsid w:val="002858D4"/>
    <w:rsid w:val="002879EC"/>
    <w:rsid w:val="0029147A"/>
    <w:rsid w:val="00297225"/>
    <w:rsid w:val="002A005E"/>
    <w:rsid w:val="002A0270"/>
    <w:rsid w:val="002A578B"/>
    <w:rsid w:val="002C0488"/>
    <w:rsid w:val="002C4097"/>
    <w:rsid w:val="002D2C3E"/>
    <w:rsid w:val="002D3D42"/>
    <w:rsid w:val="002D479B"/>
    <w:rsid w:val="002D6EC9"/>
    <w:rsid w:val="002D787B"/>
    <w:rsid w:val="00315DC4"/>
    <w:rsid w:val="00317020"/>
    <w:rsid w:val="00320B4D"/>
    <w:rsid w:val="00324FAE"/>
    <w:rsid w:val="00326FF6"/>
    <w:rsid w:val="00327A22"/>
    <w:rsid w:val="0033513A"/>
    <w:rsid w:val="00342130"/>
    <w:rsid w:val="00346605"/>
    <w:rsid w:val="0035318F"/>
    <w:rsid w:val="00354C01"/>
    <w:rsid w:val="00361551"/>
    <w:rsid w:val="0036306A"/>
    <w:rsid w:val="003727DB"/>
    <w:rsid w:val="00386642"/>
    <w:rsid w:val="00392176"/>
    <w:rsid w:val="003921D6"/>
    <w:rsid w:val="003A298A"/>
    <w:rsid w:val="003A553B"/>
    <w:rsid w:val="003A566A"/>
    <w:rsid w:val="003B1EC9"/>
    <w:rsid w:val="003B2414"/>
    <w:rsid w:val="003C2392"/>
    <w:rsid w:val="003C2E75"/>
    <w:rsid w:val="003D39F5"/>
    <w:rsid w:val="003D4B45"/>
    <w:rsid w:val="003E1304"/>
    <w:rsid w:val="003E35D4"/>
    <w:rsid w:val="003E7121"/>
    <w:rsid w:val="003F0731"/>
    <w:rsid w:val="003F33B4"/>
    <w:rsid w:val="004050F6"/>
    <w:rsid w:val="00405CEA"/>
    <w:rsid w:val="00405F6D"/>
    <w:rsid w:val="004109C0"/>
    <w:rsid w:val="00424124"/>
    <w:rsid w:val="00434212"/>
    <w:rsid w:val="00437624"/>
    <w:rsid w:val="00440F6E"/>
    <w:rsid w:val="00443645"/>
    <w:rsid w:val="00443CD6"/>
    <w:rsid w:val="00444DE5"/>
    <w:rsid w:val="004552C9"/>
    <w:rsid w:val="004607AC"/>
    <w:rsid w:val="0046127E"/>
    <w:rsid w:val="004678E1"/>
    <w:rsid w:val="00473281"/>
    <w:rsid w:val="00473B68"/>
    <w:rsid w:val="0048301B"/>
    <w:rsid w:val="004A5ABE"/>
    <w:rsid w:val="004A6424"/>
    <w:rsid w:val="004A69D0"/>
    <w:rsid w:val="004A6A82"/>
    <w:rsid w:val="004B0D85"/>
    <w:rsid w:val="004B6AA8"/>
    <w:rsid w:val="004B6E00"/>
    <w:rsid w:val="004C186B"/>
    <w:rsid w:val="004C3F2E"/>
    <w:rsid w:val="004C4856"/>
    <w:rsid w:val="004C7784"/>
    <w:rsid w:val="004D078F"/>
    <w:rsid w:val="004D780D"/>
    <w:rsid w:val="004D7CF8"/>
    <w:rsid w:val="004E6BC0"/>
    <w:rsid w:val="004E6D3B"/>
    <w:rsid w:val="005055A6"/>
    <w:rsid w:val="00507060"/>
    <w:rsid w:val="0051179B"/>
    <w:rsid w:val="00512A5D"/>
    <w:rsid w:val="0051424F"/>
    <w:rsid w:val="00514A31"/>
    <w:rsid w:val="00523623"/>
    <w:rsid w:val="005300F0"/>
    <w:rsid w:val="005413B0"/>
    <w:rsid w:val="0054154F"/>
    <w:rsid w:val="0054560C"/>
    <w:rsid w:val="00545FD3"/>
    <w:rsid w:val="0056238B"/>
    <w:rsid w:val="00565BDB"/>
    <w:rsid w:val="0057145F"/>
    <w:rsid w:val="005758E7"/>
    <w:rsid w:val="005778C8"/>
    <w:rsid w:val="0058120D"/>
    <w:rsid w:val="005A44B1"/>
    <w:rsid w:val="005A5B3A"/>
    <w:rsid w:val="005B47BD"/>
    <w:rsid w:val="005B6FA6"/>
    <w:rsid w:val="005D2C51"/>
    <w:rsid w:val="005F613D"/>
    <w:rsid w:val="00603015"/>
    <w:rsid w:val="0060603E"/>
    <w:rsid w:val="00627DF4"/>
    <w:rsid w:val="00634707"/>
    <w:rsid w:val="00644034"/>
    <w:rsid w:val="00652AC8"/>
    <w:rsid w:val="0066157D"/>
    <w:rsid w:val="006756FB"/>
    <w:rsid w:val="0067624E"/>
    <w:rsid w:val="00677BD0"/>
    <w:rsid w:val="00680F28"/>
    <w:rsid w:val="00685B82"/>
    <w:rsid w:val="00685E11"/>
    <w:rsid w:val="00687C0D"/>
    <w:rsid w:val="0069705B"/>
    <w:rsid w:val="006A0EDC"/>
    <w:rsid w:val="006A18DB"/>
    <w:rsid w:val="006A2D2E"/>
    <w:rsid w:val="006B545C"/>
    <w:rsid w:val="006C452E"/>
    <w:rsid w:val="006C5F4F"/>
    <w:rsid w:val="006C6365"/>
    <w:rsid w:val="006E790B"/>
    <w:rsid w:val="006F055C"/>
    <w:rsid w:val="006F253E"/>
    <w:rsid w:val="0070610B"/>
    <w:rsid w:val="00707D20"/>
    <w:rsid w:val="00721AD7"/>
    <w:rsid w:val="007225EF"/>
    <w:rsid w:val="00722BA6"/>
    <w:rsid w:val="00723DC5"/>
    <w:rsid w:val="00727952"/>
    <w:rsid w:val="007338D6"/>
    <w:rsid w:val="00736DA9"/>
    <w:rsid w:val="00740B36"/>
    <w:rsid w:val="007422B7"/>
    <w:rsid w:val="00747A6F"/>
    <w:rsid w:val="0075622F"/>
    <w:rsid w:val="00756B44"/>
    <w:rsid w:val="0076067D"/>
    <w:rsid w:val="00782CDC"/>
    <w:rsid w:val="007839F9"/>
    <w:rsid w:val="0079276D"/>
    <w:rsid w:val="007A2765"/>
    <w:rsid w:val="007B13E5"/>
    <w:rsid w:val="007B2F6B"/>
    <w:rsid w:val="007B473A"/>
    <w:rsid w:val="007C0EE8"/>
    <w:rsid w:val="007D2C48"/>
    <w:rsid w:val="007D3A4A"/>
    <w:rsid w:val="007E546F"/>
    <w:rsid w:val="007F0AF3"/>
    <w:rsid w:val="007F1928"/>
    <w:rsid w:val="007F392E"/>
    <w:rsid w:val="007F7A08"/>
    <w:rsid w:val="00811A1B"/>
    <w:rsid w:val="00812560"/>
    <w:rsid w:val="008130E0"/>
    <w:rsid w:val="00817B5B"/>
    <w:rsid w:val="00824DED"/>
    <w:rsid w:val="00826E5A"/>
    <w:rsid w:val="00836505"/>
    <w:rsid w:val="0083713D"/>
    <w:rsid w:val="008437B2"/>
    <w:rsid w:val="00843F1C"/>
    <w:rsid w:val="00850DCE"/>
    <w:rsid w:val="00854FBB"/>
    <w:rsid w:val="008661BA"/>
    <w:rsid w:val="008671A6"/>
    <w:rsid w:val="00871CA8"/>
    <w:rsid w:val="00875E7E"/>
    <w:rsid w:val="00885004"/>
    <w:rsid w:val="00886B7B"/>
    <w:rsid w:val="008878E3"/>
    <w:rsid w:val="00887AB4"/>
    <w:rsid w:val="00894290"/>
    <w:rsid w:val="00897921"/>
    <w:rsid w:val="008A25A1"/>
    <w:rsid w:val="008A5B9B"/>
    <w:rsid w:val="008B0924"/>
    <w:rsid w:val="008B1418"/>
    <w:rsid w:val="008B39B6"/>
    <w:rsid w:val="008C1AFD"/>
    <w:rsid w:val="008C4B67"/>
    <w:rsid w:val="008C7E74"/>
    <w:rsid w:val="008D1AEF"/>
    <w:rsid w:val="008D2EE5"/>
    <w:rsid w:val="009041B7"/>
    <w:rsid w:val="00905E86"/>
    <w:rsid w:val="009124E4"/>
    <w:rsid w:val="00924EA9"/>
    <w:rsid w:val="00925FA2"/>
    <w:rsid w:val="00926A9C"/>
    <w:rsid w:val="00927803"/>
    <w:rsid w:val="0093602F"/>
    <w:rsid w:val="00953821"/>
    <w:rsid w:val="00957CD1"/>
    <w:rsid w:val="00961DB2"/>
    <w:rsid w:val="0096209E"/>
    <w:rsid w:val="00962A9C"/>
    <w:rsid w:val="0097292F"/>
    <w:rsid w:val="009741D9"/>
    <w:rsid w:val="0098292E"/>
    <w:rsid w:val="00982CA4"/>
    <w:rsid w:val="00984235"/>
    <w:rsid w:val="00984D50"/>
    <w:rsid w:val="00993D92"/>
    <w:rsid w:val="009A4D63"/>
    <w:rsid w:val="009A4DDC"/>
    <w:rsid w:val="009A54FC"/>
    <w:rsid w:val="009B08C5"/>
    <w:rsid w:val="009B1347"/>
    <w:rsid w:val="009B3FD1"/>
    <w:rsid w:val="009B52C0"/>
    <w:rsid w:val="009C2167"/>
    <w:rsid w:val="009D46C1"/>
    <w:rsid w:val="009D7C68"/>
    <w:rsid w:val="009E0D02"/>
    <w:rsid w:val="009E2AD6"/>
    <w:rsid w:val="009E4418"/>
    <w:rsid w:val="009E5838"/>
    <w:rsid w:val="009F0F23"/>
    <w:rsid w:val="00A00C85"/>
    <w:rsid w:val="00A11704"/>
    <w:rsid w:val="00A11840"/>
    <w:rsid w:val="00A22C61"/>
    <w:rsid w:val="00A230FD"/>
    <w:rsid w:val="00A262E4"/>
    <w:rsid w:val="00A26EC3"/>
    <w:rsid w:val="00A27226"/>
    <w:rsid w:val="00A359C7"/>
    <w:rsid w:val="00A41CF3"/>
    <w:rsid w:val="00A45DA7"/>
    <w:rsid w:val="00A4674D"/>
    <w:rsid w:val="00A55FF3"/>
    <w:rsid w:val="00A603CE"/>
    <w:rsid w:val="00A64CF7"/>
    <w:rsid w:val="00A7024B"/>
    <w:rsid w:val="00A821EA"/>
    <w:rsid w:val="00A8721E"/>
    <w:rsid w:val="00A91680"/>
    <w:rsid w:val="00A92495"/>
    <w:rsid w:val="00A9377F"/>
    <w:rsid w:val="00AA5899"/>
    <w:rsid w:val="00AB75A3"/>
    <w:rsid w:val="00AB7FC6"/>
    <w:rsid w:val="00AC6C0F"/>
    <w:rsid w:val="00AD115D"/>
    <w:rsid w:val="00AD16AE"/>
    <w:rsid w:val="00AD6C53"/>
    <w:rsid w:val="00AE53AA"/>
    <w:rsid w:val="00AE72F4"/>
    <w:rsid w:val="00AF0A4B"/>
    <w:rsid w:val="00AF65DE"/>
    <w:rsid w:val="00B04278"/>
    <w:rsid w:val="00B12672"/>
    <w:rsid w:val="00B237A9"/>
    <w:rsid w:val="00B2434D"/>
    <w:rsid w:val="00B24D29"/>
    <w:rsid w:val="00B30D88"/>
    <w:rsid w:val="00B34610"/>
    <w:rsid w:val="00B34716"/>
    <w:rsid w:val="00B60A3E"/>
    <w:rsid w:val="00B61A13"/>
    <w:rsid w:val="00B648CA"/>
    <w:rsid w:val="00B73A69"/>
    <w:rsid w:val="00B74894"/>
    <w:rsid w:val="00B749FB"/>
    <w:rsid w:val="00B82B83"/>
    <w:rsid w:val="00B909F7"/>
    <w:rsid w:val="00B96A24"/>
    <w:rsid w:val="00BA677D"/>
    <w:rsid w:val="00BA6FDB"/>
    <w:rsid w:val="00BB02ED"/>
    <w:rsid w:val="00BC31F9"/>
    <w:rsid w:val="00BC5D46"/>
    <w:rsid w:val="00BC69E5"/>
    <w:rsid w:val="00BC6F83"/>
    <w:rsid w:val="00BD34B4"/>
    <w:rsid w:val="00BE7B88"/>
    <w:rsid w:val="00BF2C5D"/>
    <w:rsid w:val="00BF31E3"/>
    <w:rsid w:val="00BF5F1C"/>
    <w:rsid w:val="00C06607"/>
    <w:rsid w:val="00C07731"/>
    <w:rsid w:val="00C07AC0"/>
    <w:rsid w:val="00C134F3"/>
    <w:rsid w:val="00C218A9"/>
    <w:rsid w:val="00C47EE0"/>
    <w:rsid w:val="00C63006"/>
    <w:rsid w:val="00C67568"/>
    <w:rsid w:val="00C71871"/>
    <w:rsid w:val="00C85E87"/>
    <w:rsid w:val="00C913B6"/>
    <w:rsid w:val="00C92939"/>
    <w:rsid w:val="00CA6EA3"/>
    <w:rsid w:val="00CB15A7"/>
    <w:rsid w:val="00CB4FDD"/>
    <w:rsid w:val="00CB6D97"/>
    <w:rsid w:val="00CE0C9D"/>
    <w:rsid w:val="00CE6572"/>
    <w:rsid w:val="00CE6E72"/>
    <w:rsid w:val="00D117C4"/>
    <w:rsid w:val="00D23CDC"/>
    <w:rsid w:val="00D26593"/>
    <w:rsid w:val="00D268EB"/>
    <w:rsid w:val="00D26CFF"/>
    <w:rsid w:val="00D274C6"/>
    <w:rsid w:val="00D33C2E"/>
    <w:rsid w:val="00D3454B"/>
    <w:rsid w:val="00D456D8"/>
    <w:rsid w:val="00D45A0E"/>
    <w:rsid w:val="00D4758C"/>
    <w:rsid w:val="00D55FAB"/>
    <w:rsid w:val="00D56786"/>
    <w:rsid w:val="00D61EAB"/>
    <w:rsid w:val="00D701D3"/>
    <w:rsid w:val="00D7445F"/>
    <w:rsid w:val="00D92B1D"/>
    <w:rsid w:val="00DC0E31"/>
    <w:rsid w:val="00DC61A8"/>
    <w:rsid w:val="00DC70D0"/>
    <w:rsid w:val="00DC7DD6"/>
    <w:rsid w:val="00DD3971"/>
    <w:rsid w:val="00DD571D"/>
    <w:rsid w:val="00DE7D3E"/>
    <w:rsid w:val="00E13146"/>
    <w:rsid w:val="00E174FC"/>
    <w:rsid w:val="00E20070"/>
    <w:rsid w:val="00E20994"/>
    <w:rsid w:val="00E22124"/>
    <w:rsid w:val="00E261AD"/>
    <w:rsid w:val="00E324C0"/>
    <w:rsid w:val="00E40344"/>
    <w:rsid w:val="00E500AB"/>
    <w:rsid w:val="00E576BD"/>
    <w:rsid w:val="00E57885"/>
    <w:rsid w:val="00E57BE9"/>
    <w:rsid w:val="00E604D6"/>
    <w:rsid w:val="00E67086"/>
    <w:rsid w:val="00E67F4E"/>
    <w:rsid w:val="00E83593"/>
    <w:rsid w:val="00E857E4"/>
    <w:rsid w:val="00E85B05"/>
    <w:rsid w:val="00E86F47"/>
    <w:rsid w:val="00E879B4"/>
    <w:rsid w:val="00E9139D"/>
    <w:rsid w:val="00E92487"/>
    <w:rsid w:val="00EA0940"/>
    <w:rsid w:val="00EA3B02"/>
    <w:rsid w:val="00EA5A59"/>
    <w:rsid w:val="00EB3301"/>
    <w:rsid w:val="00ED6E24"/>
    <w:rsid w:val="00EE23F0"/>
    <w:rsid w:val="00EE48A6"/>
    <w:rsid w:val="00EE4A18"/>
    <w:rsid w:val="00EF06BE"/>
    <w:rsid w:val="00EF61D1"/>
    <w:rsid w:val="00F1070A"/>
    <w:rsid w:val="00F154D0"/>
    <w:rsid w:val="00F261D6"/>
    <w:rsid w:val="00F35911"/>
    <w:rsid w:val="00F42D43"/>
    <w:rsid w:val="00F57965"/>
    <w:rsid w:val="00F65CC7"/>
    <w:rsid w:val="00F72ABE"/>
    <w:rsid w:val="00F72B1B"/>
    <w:rsid w:val="00F77E12"/>
    <w:rsid w:val="00F814DE"/>
    <w:rsid w:val="00F83E88"/>
    <w:rsid w:val="00F90045"/>
    <w:rsid w:val="00F925FE"/>
    <w:rsid w:val="00FA28D1"/>
    <w:rsid w:val="00FA6462"/>
    <w:rsid w:val="00FA6558"/>
    <w:rsid w:val="00FC2653"/>
    <w:rsid w:val="00FD2095"/>
    <w:rsid w:val="00FD489B"/>
    <w:rsid w:val="00FD530D"/>
    <w:rsid w:val="00FD6C05"/>
    <w:rsid w:val="00FE0217"/>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FAC707"/>
  <w15:chartTrackingRefBased/>
  <w15:docId w15:val="{C4AB733C-D9CB-4246-8D80-E2E308356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basedOn w:val="Normal"/>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aliases w:val="header odd"/>
    <w:basedOn w:val="Normal"/>
    <w:link w:val="HeaderChar"/>
    <w:unhideWhenUsed/>
    <w:rsid w:val="00AD115D"/>
    <w:pPr>
      <w:tabs>
        <w:tab w:val="center" w:pos="4680"/>
        <w:tab w:val="right" w:pos="9360"/>
      </w:tabs>
      <w:spacing w:before="0" w:after="0"/>
    </w:pPr>
  </w:style>
  <w:style w:type="character" w:customStyle="1" w:styleId="HeaderChar">
    <w:name w:val="Header Char"/>
    <w:aliases w:val="header odd Char"/>
    <w:link w:val="Header"/>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link w:val="TALCar"/>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TALCar">
    <w:name w:val="TAL Car"/>
    <w:link w:val="TAL"/>
    <w:rsid w:val="00A230FD"/>
    <w:rPr>
      <w:rFonts w:ascii="Arial" w:eastAsia="Times New Roman" w:hAnsi="Arial"/>
      <w:sz w:val="18"/>
      <w:lang w:val="en-GB" w:eastAsia="ja-JP"/>
    </w:rPr>
  </w:style>
  <w:style w:type="paragraph" w:customStyle="1" w:styleId="TAH">
    <w:name w:val="TAH"/>
    <w:basedOn w:val="Normal"/>
    <w:rsid w:val="00A230FD"/>
    <w:pPr>
      <w:keepNext/>
      <w:keepLines/>
      <w:overflowPunct w:val="0"/>
      <w:autoSpaceDE w:val="0"/>
      <w:autoSpaceDN w:val="0"/>
      <w:adjustRightInd w:val="0"/>
      <w:spacing w:before="0" w:after="0"/>
      <w:jc w:val="center"/>
      <w:textAlignment w:val="baseline"/>
    </w:pPr>
    <w:rPr>
      <w:b/>
      <w:sz w:val="18"/>
      <w:lang w:val="x-none" w:eastAsia="x-none"/>
    </w:rPr>
  </w:style>
  <w:style w:type="paragraph" w:customStyle="1" w:styleId="TAN">
    <w:name w:val="TAN"/>
    <w:basedOn w:val="TAL"/>
    <w:rsid w:val="00A230FD"/>
    <w:pPr>
      <w:ind w:left="851" w:hanging="851"/>
    </w:pPr>
    <w:rPr>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131750107">
      <w:bodyDiv w:val="1"/>
      <w:marLeft w:val="0"/>
      <w:marRight w:val="0"/>
      <w:marTop w:val="0"/>
      <w:marBottom w:val="0"/>
      <w:divBdr>
        <w:top w:val="none" w:sz="0" w:space="0" w:color="auto"/>
        <w:left w:val="none" w:sz="0" w:space="0" w:color="auto"/>
        <w:bottom w:val="none" w:sz="0" w:space="0" w:color="auto"/>
        <w:right w:val="none" w:sz="0" w:space="0" w:color="auto"/>
      </w:divBdr>
    </w:div>
    <w:div w:id="309286872">
      <w:bodyDiv w:val="1"/>
      <w:marLeft w:val="0"/>
      <w:marRight w:val="0"/>
      <w:marTop w:val="0"/>
      <w:marBottom w:val="0"/>
      <w:divBdr>
        <w:top w:val="none" w:sz="0" w:space="0" w:color="auto"/>
        <w:left w:val="none" w:sz="0" w:space="0" w:color="auto"/>
        <w:bottom w:val="none" w:sz="0" w:space="0" w:color="auto"/>
        <w:right w:val="none" w:sz="0" w:space="0" w:color="auto"/>
      </w:divBdr>
    </w:div>
    <w:div w:id="412968285">
      <w:bodyDiv w:val="1"/>
      <w:marLeft w:val="0"/>
      <w:marRight w:val="0"/>
      <w:marTop w:val="0"/>
      <w:marBottom w:val="0"/>
      <w:divBdr>
        <w:top w:val="none" w:sz="0" w:space="0" w:color="auto"/>
        <w:left w:val="none" w:sz="0" w:space="0" w:color="auto"/>
        <w:bottom w:val="none" w:sz="0" w:space="0" w:color="auto"/>
        <w:right w:val="none" w:sz="0" w:space="0" w:color="auto"/>
      </w:divBdr>
    </w:div>
    <w:div w:id="456875834">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40635901">
      <w:bodyDiv w:val="1"/>
      <w:marLeft w:val="0"/>
      <w:marRight w:val="0"/>
      <w:marTop w:val="0"/>
      <w:marBottom w:val="0"/>
      <w:divBdr>
        <w:top w:val="none" w:sz="0" w:space="0" w:color="auto"/>
        <w:left w:val="none" w:sz="0" w:space="0" w:color="auto"/>
        <w:bottom w:val="none" w:sz="0" w:space="0" w:color="auto"/>
        <w:right w:val="none" w:sz="0" w:space="0" w:color="auto"/>
      </w:divBdr>
    </w:div>
    <w:div w:id="591738654">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346131447">
      <w:bodyDiv w:val="1"/>
      <w:marLeft w:val="0"/>
      <w:marRight w:val="0"/>
      <w:marTop w:val="0"/>
      <w:marBottom w:val="0"/>
      <w:divBdr>
        <w:top w:val="none" w:sz="0" w:space="0" w:color="auto"/>
        <w:left w:val="none" w:sz="0" w:space="0" w:color="auto"/>
        <w:bottom w:val="none" w:sz="0" w:space="0" w:color="auto"/>
        <w:right w:val="none" w:sz="0" w:space="0" w:color="auto"/>
      </w:divBdr>
    </w:div>
    <w:div w:id="1484739741">
      <w:bodyDiv w:val="1"/>
      <w:marLeft w:val="0"/>
      <w:marRight w:val="0"/>
      <w:marTop w:val="0"/>
      <w:marBottom w:val="0"/>
      <w:divBdr>
        <w:top w:val="none" w:sz="0" w:space="0" w:color="auto"/>
        <w:left w:val="none" w:sz="0" w:space="0" w:color="auto"/>
        <w:bottom w:val="none" w:sz="0" w:space="0" w:color="auto"/>
        <w:right w:val="none" w:sz="0" w:space="0" w:color="auto"/>
      </w:divBdr>
      <w:divsChild>
        <w:div w:id="694501481">
          <w:marLeft w:val="547"/>
          <w:marRight w:val="0"/>
          <w:marTop w:val="0"/>
          <w:marBottom w:val="120"/>
          <w:divBdr>
            <w:top w:val="none" w:sz="0" w:space="0" w:color="auto"/>
            <w:left w:val="none" w:sz="0" w:space="0" w:color="auto"/>
            <w:bottom w:val="none" w:sz="0" w:space="0" w:color="auto"/>
            <w:right w:val="none" w:sz="0" w:space="0" w:color="auto"/>
          </w:divBdr>
        </w:div>
        <w:div w:id="1166434096">
          <w:marLeft w:val="547"/>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585141144">
      <w:bodyDiv w:val="1"/>
      <w:marLeft w:val="0"/>
      <w:marRight w:val="0"/>
      <w:marTop w:val="0"/>
      <w:marBottom w:val="0"/>
      <w:divBdr>
        <w:top w:val="none" w:sz="0" w:space="0" w:color="auto"/>
        <w:left w:val="none" w:sz="0" w:space="0" w:color="auto"/>
        <w:bottom w:val="none" w:sz="0" w:space="0" w:color="auto"/>
        <w:right w:val="none" w:sz="0" w:space="0" w:color="auto"/>
      </w:divBdr>
    </w:div>
    <w:div w:id="1655061654">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915898678">
      <w:bodyDiv w:val="1"/>
      <w:marLeft w:val="0"/>
      <w:marRight w:val="0"/>
      <w:marTop w:val="0"/>
      <w:marBottom w:val="0"/>
      <w:divBdr>
        <w:top w:val="none" w:sz="0" w:space="0" w:color="auto"/>
        <w:left w:val="none" w:sz="0" w:space="0" w:color="auto"/>
        <w:bottom w:val="none" w:sz="0" w:space="0" w:color="auto"/>
        <w:right w:val="none" w:sz="0" w:space="0" w:color="auto"/>
      </w:divBdr>
    </w:div>
    <w:div w:id="1921136653">
      <w:bodyDiv w:val="1"/>
      <w:marLeft w:val="0"/>
      <w:marRight w:val="0"/>
      <w:marTop w:val="0"/>
      <w:marBottom w:val="0"/>
      <w:divBdr>
        <w:top w:val="none" w:sz="0" w:space="0" w:color="auto"/>
        <w:left w:val="none" w:sz="0" w:space="0" w:color="auto"/>
        <w:bottom w:val="none" w:sz="0" w:space="0" w:color="auto"/>
        <w:right w:val="none" w:sz="0" w:space="0" w:color="auto"/>
      </w:divBdr>
    </w:div>
    <w:div w:id="1932203018">
      <w:bodyDiv w:val="1"/>
      <w:marLeft w:val="0"/>
      <w:marRight w:val="0"/>
      <w:marTop w:val="0"/>
      <w:marBottom w:val="0"/>
      <w:divBdr>
        <w:top w:val="none" w:sz="0" w:space="0" w:color="auto"/>
        <w:left w:val="none" w:sz="0" w:space="0" w:color="auto"/>
        <w:bottom w:val="none" w:sz="0" w:space="0" w:color="auto"/>
        <w:right w:val="none" w:sz="0" w:space="0" w:color="auto"/>
      </w:divBdr>
      <w:divsChild>
        <w:div w:id="231236375">
          <w:marLeft w:val="360"/>
          <w:marRight w:val="0"/>
          <w:marTop w:val="77"/>
          <w:marBottom w:val="0"/>
          <w:divBdr>
            <w:top w:val="none" w:sz="0" w:space="0" w:color="auto"/>
            <w:left w:val="none" w:sz="0" w:space="0" w:color="auto"/>
            <w:bottom w:val="none" w:sz="0" w:space="0" w:color="auto"/>
            <w:right w:val="none" w:sz="0" w:space="0" w:color="auto"/>
          </w:divBdr>
        </w:div>
        <w:div w:id="511917189">
          <w:marLeft w:val="1166"/>
          <w:marRight w:val="0"/>
          <w:marTop w:val="67"/>
          <w:marBottom w:val="0"/>
          <w:divBdr>
            <w:top w:val="none" w:sz="0" w:space="0" w:color="auto"/>
            <w:left w:val="none" w:sz="0" w:space="0" w:color="auto"/>
            <w:bottom w:val="none" w:sz="0" w:space="0" w:color="auto"/>
            <w:right w:val="none" w:sz="0" w:space="0" w:color="auto"/>
          </w:divBdr>
        </w:div>
        <w:div w:id="1948271744">
          <w:marLeft w:val="360"/>
          <w:marRight w:val="0"/>
          <w:marTop w:val="77"/>
          <w:marBottom w:val="0"/>
          <w:divBdr>
            <w:top w:val="none" w:sz="0" w:space="0" w:color="auto"/>
            <w:left w:val="none" w:sz="0" w:space="0" w:color="auto"/>
            <w:bottom w:val="none" w:sz="0" w:space="0" w:color="auto"/>
            <w:right w:val="none" w:sz="0" w:space="0" w:color="auto"/>
          </w:divBdr>
        </w:div>
        <w:div w:id="1257985437">
          <w:marLeft w:val="1166"/>
          <w:marRight w:val="0"/>
          <w:marTop w:val="67"/>
          <w:marBottom w:val="0"/>
          <w:divBdr>
            <w:top w:val="none" w:sz="0" w:space="0" w:color="auto"/>
            <w:left w:val="none" w:sz="0" w:space="0" w:color="auto"/>
            <w:bottom w:val="none" w:sz="0" w:space="0" w:color="auto"/>
            <w:right w:val="none" w:sz="0" w:space="0" w:color="auto"/>
          </w:divBdr>
        </w:div>
        <w:div w:id="146017730">
          <w:marLeft w:val="360"/>
          <w:marRight w:val="0"/>
          <w:marTop w:val="77"/>
          <w:marBottom w:val="0"/>
          <w:divBdr>
            <w:top w:val="none" w:sz="0" w:space="0" w:color="auto"/>
            <w:left w:val="none" w:sz="0" w:space="0" w:color="auto"/>
            <w:bottom w:val="none" w:sz="0" w:space="0" w:color="auto"/>
            <w:right w:val="none" w:sz="0" w:space="0" w:color="auto"/>
          </w:divBdr>
        </w:div>
        <w:div w:id="1125808237">
          <w:marLeft w:val="1166"/>
          <w:marRight w:val="0"/>
          <w:marTop w:val="67"/>
          <w:marBottom w:val="0"/>
          <w:divBdr>
            <w:top w:val="none" w:sz="0" w:space="0" w:color="auto"/>
            <w:left w:val="none" w:sz="0" w:space="0" w:color="auto"/>
            <w:bottom w:val="none" w:sz="0" w:space="0" w:color="auto"/>
            <w:right w:val="none" w:sz="0" w:space="0" w:color="auto"/>
          </w:divBdr>
        </w:div>
        <w:div w:id="245463527">
          <w:marLeft w:val="1166"/>
          <w:marRight w:val="0"/>
          <w:marTop w:val="67"/>
          <w:marBottom w:val="0"/>
          <w:divBdr>
            <w:top w:val="none" w:sz="0" w:space="0" w:color="auto"/>
            <w:left w:val="none" w:sz="0" w:space="0" w:color="auto"/>
            <w:bottom w:val="none" w:sz="0" w:space="0" w:color="auto"/>
            <w:right w:val="none" w:sz="0" w:space="0" w:color="auto"/>
          </w:divBdr>
        </w:div>
        <w:div w:id="1841504451">
          <w:marLeft w:val="547"/>
          <w:marRight w:val="0"/>
          <w:marTop w:val="77"/>
          <w:marBottom w:val="0"/>
          <w:divBdr>
            <w:top w:val="none" w:sz="0" w:space="0" w:color="auto"/>
            <w:left w:val="none" w:sz="0" w:space="0" w:color="auto"/>
            <w:bottom w:val="none" w:sz="0" w:space="0" w:color="auto"/>
            <w:right w:val="none" w:sz="0" w:space="0" w:color="auto"/>
          </w:divBdr>
        </w:div>
        <w:div w:id="1935897007">
          <w:marLeft w:val="1166"/>
          <w:marRight w:val="0"/>
          <w:marTop w:val="67"/>
          <w:marBottom w:val="0"/>
          <w:divBdr>
            <w:top w:val="none" w:sz="0" w:space="0" w:color="auto"/>
            <w:left w:val="none" w:sz="0" w:space="0" w:color="auto"/>
            <w:bottom w:val="none" w:sz="0" w:space="0" w:color="auto"/>
            <w:right w:val="none" w:sz="0" w:space="0" w:color="auto"/>
          </w:divBdr>
        </w:div>
        <w:div w:id="1301308203">
          <w:marLeft w:val="1166"/>
          <w:marRight w:val="0"/>
          <w:marTop w:val="67"/>
          <w:marBottom w:val="0"/>
          <w:divBdr>
            <w:top w:val="none" w:sz="0" w:space="0" w:color="auto"/>
            <w:left w:val="none" w:sz="0" w:space="0" w:color="auto"/>
            <w:bottom w:val="none" w:sz="0" w:space="0" w:color="auto"/>
            <w:right w:val="none" w:sz="0" w:space="0" w:color="auto"/>
          </w:divBdr>
        </w:div>
        <w:div w:id="1912542814">
          <w:marLeft w:val="1166"/>
          <w:marRight w:val="0"/>
          <w:marTop w:val="67"/>
          <w:marBottom w:val="0"/>
          <w:divBdr>
            <w:top w:val="none" w:sz="0" w:space="0" w:color="auto"/>
            <w:left w:val="none" w:sz="0" w:space="0" w:color="auto"/>
            <w:bottom w:val="none" w:sz="0" w:space="0" w:color="auto"/>
            <w:right w:val="none" w:sz="0" w:space="0" w:color="auto"/>
          </w:divBdr>
        </w:div>
        <w:div w:id="313070256">
          <w:marLeft w:val="547"/>
          <w:marRight w:val="0"/>
          <w:marTop w:val="77"/>
          <w:marBottom w:val="0"/>
          <w:divBdr>
            <w:top w:val="none" w:sz="0" w:space="0" w:color="auto"/>
            <w:left w:val="none" w:sz="0" w:space="0" w:color="auto"/>
            <w:bottom w:val="none" w:sz="0" w:space="0" w:color="auto"/>
            <w:right w:val="none" w:sz="0" w:space="0" w:color="auto"/>
          </w:divBdr>
        </w:div>
      </w:divsChild>
    </w:div>
    <w:div w:id="205187824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7C9BEB-0F36-4431-8DD0-EF97A6DE5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1081</Words>
  <Characters>6162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7229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 (AT&amp;T)</cp:lastModifiedBy>
  <cp:revision>3</cp:revision>
  <cp:lastPrinted>2016-02-23T18:51:00Z</cp:lastPrinted>
  <dcterms:created xsi:type="dcterms:W3CDTF">2019-05-03T02:48:00Z</dcterms:created>
  <dcterms:modified xsi:type="dcterms:W3CDTF">2019-05-03T15:35:00Z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